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75F3C" w14:textId="64ACF75F" w:rsidR="002B44CE" w:rsidRPr="00C24697" w:rsidRDefault="00E24396" w:rsidP="00C24697">
      <w:pPr>
        <w:spacing w:after="0" w:line="240" w:lineRule="auto"/>
        <w:jc w:val="center"/>
        <w:rPr>
          <w:rFonts w:ascii="Times New Roman" w:hAnsi="Times New Roman" w:cs="Times New Roman"/>
          <w:b/>
          <w:bCs/>
          <w:iCs/>
          <w:sz w:val="36"/>
          <w:szCs w:val="36"/>
        </w:rPr>
      </w:pPr>
      <w:r w:rsidRPr="00C24697">
        <w:rPr>
          <w:rFonts w:ascii="Times New Roman" w:hAnsi="Times New Roman" w:cs="Times New Roman"/>
          <w:b/>
          <w:bCs/>
          <w:iCs/>
          <w:sz w:val="36"/>
          <w:szCs w:val="36"/>
        </w:rPr>
        <w:t>Съществува ли “умора от разширяването” и напрежение между разширяване и задълбочаване на ин</w:t>
      </w:r>
      <w:r w:rsidR="00C24697" w:rsidRPr="00C24697">
        <w:rPr>
          <w:rFonts w:ascii="Times New Roman" w:hAnsi="Times New Roman" w:cs="Times New Roman"/>
          <w:b/>
          <w:bCs/>
          <w:iCs/>
          <w:sz w:val="36"/>
          <w:szCs w:val="36"/>
        </w:rPr>
        <w:t>теграцията?</w:t>
      </w:r>
    </w:p>
    <w:p w14:paraId="04BC6910" w14:textId="77777777" w:rsidR="00C24697" w:rsidRPr="00C24697" w:rsidRDefault="00C24697" w:rsidP="001F47B2">
      <w:pPr>
        <w:spacing w:after="0" w:line="360" w:lineRule="auto"/>
        <w:ind w:left="360"/>
        <w:jc w:val="center"/>
        <w:rPr>
          <w:rFonts w:ascii="Times New Roman" w:hAnsi="Times New Roman" w:cs="Times New Roman"/>
          <w:b/>
          <w:bCs/>
          <w:iCs/>
          <w:sz w:val="32"/>
          <w:szCs w:val="32"/>
        </w:rPr>
      </w:pPr>
    </w:p>
    <w:p w14:paraId="7C3D6665" w14:textId="5A9AEE7F" w:rsidR="2278E054" w:rsidRPr="00C24697" w:rsidRDefault="00A10CBD" w:rsidP="001F47B2">
      <w:pPr>
        <w:spacing w:after="0" w:line="360" w:lineRule="auto"/>
        <w:ind w:left="360"/>
        <w:jc w:val="center"/>
        <w:rPr>
          <w:rFonts w:ascii="Times New Roman" w:hAnsi="Times New Roman" w:cs="Times New Roman"/>
          <w:b/>
          <w:bCs/>
          <w:i/>
          <w:sz w:val="32"/>
          <w:szCs w:val="32"/>
          <w:u w:val="single"/>
        </w:rPr>
      </w:pPr>
      <w:r w:rsidRPr="00C24697">
        <w:rPr>
          <w:rFonts w:ascii="Times New Roman" w:hAnsi="Times New Roman" w:cs="Times New Roman"/>
          <w:b/>
          <w:bCs/>
          <w:i/>
          <w:sz w:val="32"/>
          <w:szCs w:val="32"/>
          <w:u w:val="single"/>
        </w:rPr>
        <w:t>Съдържание</w:t>
      </w:r>
    </w:p>
    <w:p w14:paraId="5A8E3C95" w14:textId="77777777" w:rsidR="00C207F7" w:rsidRPr="002F7C9E" w:rsidRDefault="00061FC2" w:rsidP="001F47B2">
      <w:pPr>
        <w:pStyle w:val="ListParagraph"/>
        <w:numPr>
          <w:ilvl w:val="0"/>
          <w:numId w:val="1"/>
        </w:numPr>
        <w:spacing w:after="0" w:line="360" w:lineRule="auto"/>
        <w:jc w:val="both"/>
        <w:rPr>
          <w:rFonts w:ascii="Times New Roman" w:hAnsi="Times New Roman" w:cs="Times New Roman"/>
          <w:sz w:val="28"/>
          <w:szCs w:val="28"/>
          <w:lang w:val="en-GB"/>
        </w:rPr>
      </w:pPr>
      <w:hyperlink w:anchor="one" w:history="1">
        <w:r w:rsidRPr="000B6AEA">
          <w:rPr>
            <w:rStyle w:val="Hyperlink"/>
            <w:rFonts w:ascii="Times New Roman" w:hAnsi="Times New Roman" w:cs="Times New Roman"/>
            <w:sz w:val="28"/>
            <w:szCs w:val="28"/>
          </w:rPr>
          <w:t>Увод</w:t>
        </w:r>
      </w:hyperlink>
    </w:p>
    <w:p w14:paraId="1DB6FEC4" w14:textId="77777777" w:rsidR="00C22A11" w:rsidRDefault="004A046F" w:rsidP="001F47B2">
      <w:pPr>
        <w:pStyle w:val="ListParagraph"/>
        <w:numPr>
          <w:ilvl w:val="0"/>
          <w:numId w:val="1"/>
        </w:numPr>
        <w:spacing w:after="0" w:line="360" w:lineRule="auto"/>
        <w:jc w:val="both"/>
        <w:rPr>
          <w:rFonts w:ascii="Times New Roman" w:hAnsi="Times New Roman" w:cs="Times New Roman"/>
          <w:sz w:val="28"/>
          <w:szCs w:val="28"/>
        </w:rPr>
      </w:pPr>
      <w:hyperlink w:anchor="two" w:history="1">
        <w:r w:rsidRPr="000B6AEA">
          <w:rPr>
            <w:rStyle w:val="Hyperlink"/>
            <w:rFonts w:ascii="Times New Roman" w:hAnsi="Times New Roman" w:cs="Times New Roman"/>
            <w:sz w:val="28"/>
            <w:szCs w:val="28"/>
          </w:rPr>
          <w:t xml:space="preserve">Политика на разширяване на ЕС </w:t>
        </w:r>
        <w:r w:rsidR="008666B4" w:rsidRPr="000B6AEA">
          <w:rPr>
            <w:rStyle w:val="Hyperlink"/>
            <w:rFonts w:ascii="Times New Roman" w:hAnsi="Times New Roman" w:cs="Times New Roman"/>
            <w:sz w:val="28"/>
            <w:szCs w:val="28"/>
          </w:rPr>
          <w:t>-</w:t>
        </w:r>
        <w:r w:rsidRPr="000B6AEA">
          <w:rPr>
            <w:rStyle w:val="Hyperlink"/>
            <w:rFonts w:ascii="Times New Roman" w:hAnsi="Times New Roman" w:cs="Times New Roman"/>
            <w:sz w:val="28"/>
            <w:szCs w:val="28"/>
          </w:rPr>
          <w:t xml:space="preserve"> историческо и институционално развитие</w:t>
        </w:r>
      </w:hyperlink>
    </w:p>
    <w:p w14:paraId="1058687E" w14:textId="77777777" w:rsidR="00072903" w:rsidRPr="005D587D" w:rsidRDefault="008666B4" w:rsidP="001F47B2">
      <w:pPr>
        <w:pStyle w:val="ListParagraph"/>
        <w:numPr>
          <w:ilvl w:val="1"/>
          <w:numId w:val="1"/>
        </w:numPr>
        <w:spacing w:after="0" w:line="360" w:lineRule="auto"/>
        <w:jc w:val="both"/>
        <w:rPr>
          <w:rFonts w:ascii="Times New Roman" w:hAnsi="Times New Roman" w:cs="Times New Roman"/>
          <w:i/>
          <w:iCs/>
          <w:sz w:val="24"/>
          <w:szCs w:val="24"/>
        </w:rPr>
      </w:pPr>
      <w:r>
        <w:rPr>
          <w:rFonts w:ascii="Times New Roman" w:hAnsi="Times New Roman" w:cs="Times New Roman"/>
          <w:sz w:val="28"/>
          <w:szCs w:val="28"/>
        </w:rPr>
        <w:t xml:space="preserve">. </w:t>
      </w:r>
      <w:hyperlink w:anchor="two_one" w:history="1">
        <w:r w:rsidR="00463177" w:rsidRPr="000B6AEA">
          <w:rPr>
            <w:rStyle w:val="Hyperlink"/>
            <w:rFonts w:ascii="Times New Roman" w:hAnsi="Times New Roman" w:cs="Times New Roman"/>
            <w:i/>
            <w:iCs/>
            <w:sz w:val="24"/>
            <w:szCs w:val="24"/>
          </w:rPr>
          <w:t>Етапи на разширяването</w:t>
        </w:r>
      </w:hyperlink>
    </w:p>
    <w:p w14:paraId="2AAD6199" w14:textId="77777777" w:rsidR="00470F8B" w:rsidRPr="005D587D" w:rsidRDefault="00470F8B" w:rsidP="001F47B2">
      <w:pPr>
        <w:pStyle w:val="ListParagraph"/>
        <w:numPr>
          <w:ilvl w:val="1"/>
          <w:numId w:val="1"/>
        </w:numPr>
        <w:spacing w:after="0" w:line="360" w:lineRule="auto"/>
        <w:jc w:val="both"/>
        <w:rPr>
          <w:rFonts w:ascii="Times New Roman" w:hAnsi="Times New Roman" w:cs="Times New Roman"/>
          <w:i/>
          <w:iCs/>
          <w:sz w:val="24"/>
          <w:szCs w:val="24"/>
        </w:rPr>
      </w:pPr>
      <w:r w:rsidRPr="005D587D">
        <w:rPr>
          <w:rFonts w:ascii="Times New Roman" w:hAnsi="Times New Roman" w:cs="Times New Roman"/>
          <w:i/>
          <w:iCs/>
          <w:sz w:val="24"/>
          <w:szCs w:val="24"/>
        </w:rPr>
        <w:t xml:space="preserve">. </w:t>
      </w:r>
      <w:hyperlink w:anchor="two_two" w:history="1">
        <w:r w:rsidRPr="000B6AEA">
          <w:rPr>
            <w:rStyle w:val="Hyperlink"/>
            <w:rFonts w:ascii="Times New Roman" w:hAnsi="Times New Roman" w:cs="Times New Roman"/>
            <w:i/>
            <w:iCs/>
            <w:sz w:val="24"/>
            <w:szCs w:val="24"/>
          </w:rPr>
          <w:t>Правна и институционална рамка на разширяването</w:t>
        </w:r>
      </w:hyperlink>
    </w:p>
    <w:p w14:paraId="5885EA6B" w14:textId="77777777" w:rsidR="00470F8B" w:rsidRPr="005D587D" w:rsidRDefault="005D587D" w:rsidP="001F47B2">
      <w:pPr>
        <w:pStyle w:val="ListParagraph"/>
        <w:numPr>
          <w:ilvl w:val="1"/>
          <w:numId w:val="1"/>
        </w:numPr>
        <w:spacing w:after="0" w:line="360" w:lineRule="auto"/>
        <w:jc w:val="both"/>
        <w:rPr>
          <w:rFonts w:ascii="Times New Roman" w:hAnsi="Times New Roman" w:cs="Times New Roman"/>
          <w:i/>
          <w:iCs/>
          <w:sz w:val="24"/>
          <w:szCs w:val="24"/>
        </w:rPr>
      </w:pPr>
      <w:r w:rsidRPr="005D587D">
        <w:rPr>
          <w:rFonts w:ascii="Times New Roman" w:hAnsi="Times New Roman" w:cs="Times New Roman"/>
          <w:i/>
          <w:iCs/>
          <w:sz w:val="24"/>
          <w:szCs w:val="24"/>
        </w:rPr>
        <w:t xml:space="preserve">. </w:t>
      </w:r>
      <w:hyperlink w:anchor="two_three" w:history="1">
        <w:r w:rsidR="00470F8B" w:rsidRPr="000B6AEA">
          <w:rPr>
            <w:rStyle w:val="Hyperlink"/>
            <w:rFonts w:ascii="Times New Roman" w:hAnsi="Times New Roman" w:cs="Times New Roman"/>
            <w:i/>
            <w:iCs/>
            <w:sz w:val="24"/>
            <w:szCs w:val="24"/>
          </w:rPr>
          <w:t>Мотиви и цели на разширяването</w:t>
        </w:r>
      </w:hyperlink>
    </w:p>
    <w:p w14:paraId="247F01C9" w14:textId="77777777" w:rsidR="000266A4" w:rsidRDefault="00501D0B" w:rsidP="001F47B2">
      <w:pPr>
        <w:pStyle w:val="ListParagraph"/>
        <w:numPr>
          <w:ilvl w:val="0"/>
          <w:numId w:val="1"/>
        </w:numPr>
        <w:spacing w:after="0" w:line="360" w:lineRule="auto"/>
        <w:jc w:val="both"/>
        <w:rPr>
          <w:rFonts w:ascii="Times New Roman" w:hAnsi="Times New Roman" w:cs="Times New Roman"/>
          <w:sz w:val="28"/>
          <w:szCs w:val="28"/>
        </w:rPr>
      </w:pPr>
      <w:hyperlink w:anchor="three" w:history="1">
        <w:r w:rsidRPr="000B6AEA">
          <w:rPr>
            <w:rStyle w:val="Hyperlink"/>
            <w:rFonts w:ascii="Times New Roman" w:hAnsi="Times New Roman" w:cs="Times New Roman"/>
            <w:sz w:val="28"/>
            <w:szCs w:val="28"/>
          </w:rPr>
          <w:t>“У</w:t>
        </w:r>
        <w:r w:rsidR="0093151B" w:rsidRPr="000B6AEA">
          <w:rPr>
            <w:rStyle w:val="Hyperlink"/>
            <w:rFonts w:ascii="Times New Roman" w:hAnsi="Times New Roman" w:cs="Times New Roman"/>
            <w:sz w:val="28"/>
            <w:szCs w:val="28"/>
          </w:rPr>
          <w:t>мора от разширяването</w:t>
        </w:r>
        <w:r w:rsidRPr="000B6AEA">
          <w:rPr>
            <w:rStyle w:val="Hyperlink"/>
            <w:rFonts w:ascii="Times New Roman" w:hAnsi="Times New Roman" w:cs="Times New Roman"/>
            <w:sz w:val="28"/>
            <w:szCs w:val="28"/>
          </w:rPr>
          <w:t>”</w:t>
        </w:r>
        <w:r w:rsidR="0093151B" w:rsidRPr="000B6AEA">
          <w:rPr>
            <w:rStyle w:val="Hyperlink"/>
            <w:rFonts w:ascii="Times New Roman" w:hAnsi="Times New Roman" w:cs="Times New Roman"/>
            <w:sz w:val="28"/>
            <w:szCs w:val="28"/>
          </w:rPr>
          <w:t xml:space="preserve"> </w:t>
        </w:r>
        <w:r w:rsidR="008666B4" w:rsidRPr="000B6AEA">
          <w:rPr>
            <w:rStyle w:val="Hyperlink"/>
            <w:rFonts w:ascii="Times New Roman" w:hAnsi="Times New Roman" w:cs="Times New Roman"/>
            <w:sz w:val="28"/>
            <w:szCs w:val="28"/>
          </w:rPr>
          <w:t>-</w:t>
        </w:r>
        <w:r w:rsidR="0093151B" w:rsidRPr="000B6AEA">
          <w:rPr>
            <w:rStyle w:val="Hyperlink"/>
            <w:rFonts w:ascii="Times New Roman" w:hAnsi="Times New Roman" w:cs="Times New Roman"/>
            <w:sz w:val="28"/>
            <w:szCs w:val="28"/>
          </w:rPr>
          <w:t xml:space="preserve"> понятие, проявления и фактори</w:t>
        </w:r>
      </w:hyperlink>
      <w:r w:rsidR="0093151B">
        <w:rPr>
          <w:rFonts w:ascii="Times New Roman" w:hAnsi="Times New Roman" w:cs="Times New Roman"/>
          <w:sz w:val="28"/>
          <w:szCs w:val="28"/>
        </w:rPr>
        <w:t xml:space="preserve"> </w:t>
      </w:r>
    </w:p>
    <w:p w14:paraId="3774399D" w14:textId="77777777" w:rsidR="008666B4" w:rsidRPr="005A048B" w:rsidRDefault="00783C48" w:rsidP="001F47B2">
      <w:pPr>
        <w:pStyle w:val="ListParagraph"/>
        <w:numPr>
          <w:ilvl w:val="1"/>
          <w:numId w:val="1"/>
        </w:numPr>
        <w:spacing w:after="0" w:line="360" w:lineRule="auto"/>
        <w:jc w:val="both"/>
        <w:rPr>
          <w:rFonts w:ascii="Times New Roman" w:hAnsi="Times New Roman" w:cs="Times New Roman"/>
          <w:i/>
          <w:iCs/>
          <w:sz w:val="24"/>
          <w:szCs w:val="24"/>
        </w:rPr>
      </w:pPr>
      <w:r w:rsidRPr="000B6AEA">
        <w:rPr>
          <w:rFonts w:ascii="Times New Roman" w:hAnsi="Times New Roman" w:cs="Times New Roman"/>
          <w:sz w:val="28"/>
          <w:szCs w:val="28"/>
        </w:rPr>
        <w:t xml:space="preserve">. </w:t>
      </w:r>
      <w:hyperlink w:anchor="three_one" w:history="1">
        <w:r w:rsidR="00951789" w:rsidRPr="000B6AEA">
          <w:rPr>
            <w:rStyle w:val="Hyperlink"/>
            <w:rFonts w:ascii="Times New Roman" w:hAnsi="Times New Roman" w:cs="Times New Roman"/>
            <w:i/>
            <w:iCs/>
            <w:sz w:val="24"/>
            <w:szCs w:val="24"/>
          </w:rPr>
          <w:t>Определение на термина</w:t>
        </w:r>
      </w:hyperlink>
    </w:p>
    <w:p w14:paraId="00D2FB5B" w14:textId="77777777" w:rsidR="00783C48" w:rsidRPr="005A048B" w:rsidRDefault="00783C48" w:rsidP="001F47B2">
      <w:pPr>
        <w:pStyle w:val="ListParagraph"/>
        <w:numPr>
          <w:ilvl w:val="1"/>
          <w:numId w:val="1"/>
        </w:numPr>
        <w:spacing w:after="0" w:line="360" w:lineRule="auto"/>
        <w:jc w:val="both"/>
        <w:rPr>
          <w:rFonts w:ascii="Times New Roman" w:hAnsi="Times New Roman" w:cs="Times New Roman"/>
          <w:i/>
          <w:iCs/>
          <w:sz w:val="24"/>
          <w:szCs w:val="24"/>
        </w:rPr>
      </w:pPr>
      <w:r w:rsidRPr="005A048B">
        <w:rPr>
          <w:rFonts w:ascii="Times New Roman" w:hAnsi="Times New Roman" w:cs="Times New Roman"/>
          <w:i/>
          <w:iCs/>
          <w:sz w:val="24"/>
          <w:szCs w:val="24"/>
        </w:rPr>
        <w:t>.</w:t>
      </w:r>
      <w:r w:rsidR="004E1376" w:rsidRPr="005A048B">
        <w:rPr>
          <w:rFonts w:ascii="Times New Roman" w:hAnsi="Times New Roman" w:cs="Times New Roman"/>
          <w:i/>
          <w:iCs/>
          <w:sz w:val="24"/>
          <w:szCs w:val="24"/>
        </w:rPr>
        <w:t xml:space="preserve"> </w:t>
      </w:r>
      <w:hyperlink w:anchor="three_otwo" w:history="1">
        <w:r w:rsidR="00951789" w:rsidRPr="000B6AEA">
          <w:rPr>
            <w:rStyle w:val="Hyperlink"/>
            <w:rFonts w:ascii="Times New Roman" w:hAnsi="Times New Roman" w:cs="Times New Roman"/>
            <w:i/>
            <w:iCs/>
            <w:sz w:val="24"/>
            <w:szCs w:val="24"/>
          </w:rPr>
          <w:t>Политически, икономически и социални причини за “умо</w:t>
        </w:r>
        <w:r w:rsidR="005A048B" w:rsidRPr="000B6AEA">
          <w:rPr>
            <w:rStyle w:val="Hyperlink"/>
            <w:rFonts w:ascii="Times New Roman" w:hAnsi="Times New Roman" w:cs="Times New Roman"/>
            <w:i/>
            <w:iCs/>
            <w:sz w:val="24"/>
            <w:szCs w:val="24"/>
          </w:rPr>
          <w:t>рата</w:t>
        </w:r>
        <w:r w:rsidR="00951789" w:rsidRPr="000B6AEA">
          <w:rPr>
            <w:rStyle w:val="Hyperlink"/>
            <w:rFonts w:ascii="Times New Roman" w:hAnsi="Times New Roman" w:cs="Times New Roman"/>
            <w:i/>
            <w:iCs/>
            <w:sz w:val="24"/>
            <w:szCs w:val="24"/>
          </w:rPr>
          <w:t>”</w:t>
        </w:r>
      </w:hyperlink>
    </w:p>
    <w:p w14:paraId="390171D4" w14:textId="77777777" w:rsidR="004E1376" w:rsidRPr="005A048B" w:rsidRDefault="004E1376" w:rsidP="001F47B2">
      <w:pPr>
        <w:pStyle w:val="ListParagraph"/>
        <w:numPr>
          <w:ilvl w:val="1"/>
          <w:numId w:val="1"/>
        </w:numPr>
        <w:spacing w:after="0" w:line="360" w:lineRule="auto"/>
        <w:jc w:val="both"/>
        <w:rPr>
          <w:rFonts w:ascii="Times New Roman" w:hAnsi="Times New Roman" w:cs="Times New Roman"/>
          <w:i/>
          <w:iCs/>
          <w:sz w:val="24"/>
          <w:szCs w:val="24"/>
        </w:rPr>
      </w:pPr>
      <w:r w:rsidRPr="005A048B">
        <w:rPr>
          <w:rFonts w:ascii="Times New Roman" w:hAnsi="Times New Roman" w:cs="Times New Roman"/>
          <w:i/>
          <w:iCs/>
          <w:sz w:val="24"/>
          <w:szCs w:val="24"/>
        </w:rPr>
        <w:t xml:space="preserve">. </w:t>
      </w:r>
      <w:hyperlink w:anchor="three_three" w:history="1">
        <w:r w:rsidR="005A048B" w:rsidRPr="000B6AEA">
          <w:rPr>
            <w:rStyle w:val="Hyperlink"/>
            <w:rFonts w:ascii="Times New Roman" w:hAnsi="Times New Roman" w:cs="Times New Roman"/>
            <w:i/>
            <w:iCs/>
            <w:sz w:val="24"/>
            <w:szCs w:val="24"/>
          </w:rPr>
          <w:t>Примери от последните процеси на разширяване</w:t>
        </w:r>
      </w:hyperlink>
    </w:p>
    <w:p w14:paraId="0778AC76" w14:textId="77777777" w:rsidR="004E1376" w:rsidRPr="005A048B" w:rsidRDefault="004E1376" w:rsidP="001F47B2">
      <w:pPr>
        <w:pStyle w:val="ListParagraph"/>
        <w:numPr>
          <w:ilvl w:val="1"/>
          <w:numId w:val="1"/>
        </w:numPr>
        <w:spacing w:after="0" w:line="360" w:lineRule="auto"/>
        <w:jc w:val="both"/>
        <w:rPr>
          <w:rFonts w:ascii="Times New Roman" w:hAnsi="Times New Roman" w:cs="Times New Roman"/>
          <w:i/>
          <w:iCs/>
          <w:sz w:val="24"/>
          <w:szCs w:val="24"/>
        </w:rPr>
      </w:pPr>
      <w:r w:rsidRPr="005A048B">
        <w:rPr>
          <w:rFonts w:ascii="Times New Roman" w:hAnsi="Times New Roman" w:cs="Times New Roman"/>
          <w:i/>
          <w:iCs/>
          <w:sz w:val="24"/>
          <w:szCs w:val="24"/>
        </w:rPr>
        <w:t xml:space="preserve">. </w:t>
      </w:r>
      <w:hyperlink w:anchor="three_four" w:history="1">
        <w:r w:rsidR="005A048B" w:rsidRPr="000B6AEA">
          <w:rPr>
            <w:rStyle w:val="Hyperlink"/>
            <w:rFonts w:ascii="Times New Roman" w:hAnsi="Times New Roman" w:cs="Times New Roman"/>
            <w:i/>
            <w:iCs/>
            <w:sz w:val="24"/>
            <w:szCs w:val="24"/>
          </w:rPr>
          <w:t>Обществено мнение и позиции на държавите членки</w:t>
        </w:r>
      </w:hyperlink>
    </w:p>
    <w:p w14:paraId="3B7CCCA9" w14:textId="77777777" w:rsidR="007F3A35" w:rsidRPr="00E20720" w:rsidRDefault="00DD0735" w:rsidP="001F47B2">
      <w:pPr>
        <w:pStyle w:val="ListParagraph"/>
        <w:numPr>
          <w:ilvl w:val="0"/>
          <w:numId w:val="1"/>
        </w:numPr>
        <w:spacing w:after="0" w:line="360" w:lineRule="auto"/>
        <w:jc w:val="both"/>
        <w:rPr>
          <w:rFonts w:ascii="Times New Roman" w:hAnsi="Times New Roman" w:cs="Times New Roman"/>
          <w:sz w:val="28"/>
          <w:szCs w:val="28"/>
        </w:rPr>
      </w:pPr>
      <w:hyperlink w:anchor="four" w:history="1">
        <w:r w:rsidRPr="000B6AEA">
          <w:rPr>
            <w:rStyle w:val="Hyperlink"/>
            <w:rFonts w:ascii="Times New Roman" w:hAnsi="Times New Roman" w:cs="Times New Roman"/>
            <w:sz w:val="28"/>
            <w:szCs w:val="28"/>
          </w:rPr>
          <w:t>Напрежение между разширяване и задълбочаване на интеграцията</w:t>
        </w:r>
      </w:hyperlink>
    </w:p>
    <w:p w14:paraId="3DC44629" w14:textId="77777777" w:rsidR="00583E82" w:rsidRPr="00C35E6A" w:rsidRDefault="00375C07" w:rsidP="001F47B2">
      <w:pPr>
        <w:pStyle w:val="ListParagraph"/>
        <w:numPr>
          <w:ilvl w:val="1"/>
          <w:numId w:val="1"/>
        </w:numPr>
        <w:spacing w:after="0" w:line="360" w:lineRule="auto"/>
        <w:jc w:val="both"/>
        <w:rPr>
          <w:rFonts w:ascii="Times New Roman" w:hAnsi="Times New Roman" w:cs="Times New Roman"/>
          <w:i/>
          <w:iCs/>
          <w:sz w:val="24"/>
          <w:szCs w:val="24"/>
        </w:rPr>
      </w:pPr>
      <w:r w:rsidRPr="000B6AEA">
        <w:rPr>
          <w:rFonts w:ascii="Times New Roman" w:hAnsi="Times New Roman" w:cs="Times New Roman"/>
          <w:i/>
          <w:iCs/>
          <w:sz w:val="28"/>
          <w:szCs w:val="28"/>
        </w:rPr>
        <w:t xml:space="preserve">. </w:t>
      </w:r>
      <w:hyperlink w:anchor="four_one" w:history="1">
        <w:r w:rsidR="00E20720" w:rsidRPr="000B6AEA">
          <w:rPr>
            <w:rStyle w:val="Hyperlink"/>
            <w:rFonts w:ascii="Times New Roman" w:hAnsi="Times New Roman" w:cs="Times New Roman"/>
            <w:i/>
            <w:iCs/>
            <w:sz w:val="24"/>
            <w:szCs w:val="24"/>
          </w:rPr>
          <w:t>Теоретичен аспект – разширяване срещу интеграционно задълбочаване</w:t>
        </w:r>
      </w:hyperlink>
    </w:p>
    <w:p w14:paraId="2DC479C6" w14:textId="77777777" w:rsidR="00E20720" w:rsidRPr="00C35E6A" w:rsidRDefault="002352F5" w:rsidP="001F47B2">
      <w:pPr>
        <w:pStyle w:val="ListParagraph"/>
        <w:numPr>
          <w:ilvl w:val="1"/>
          <w:numId w:val="1"/>
        </w:numPr>
        <w:spacing w:after="0" w:line="360" w:lineRule="auto"/>
        <w:jc w:val="both"/>
        <w:rPr>
          <w:rFonts w:ascii="Times New Roman" w:hAnsi="Times New Roman" w:cs="Times New Roman"/>
          <w:i/>
          <w:iCs/>
          <w:sz w:val="24"/>
          <w:szCs w:val="24"/>
        </w:rPr>
      </w:pPr>
      <w:r w:rsidRPr="000B6AEA">
        <w:rPr>
          <w:rFonts w:ascii="Times New Roman" w:hAnsi="Times New Roman" w:cs="Times New Roman"/>
          <w:i/>
          <w:iCs/>
          <w:sz w:val="24"/>
          <w:szCs w:val="24"/>
        </w:rPr>
        <w:t xml:space="preserve">. </w:t>
      </w:r>
      <w:hyperlink w:anchor="four_two" w:history="1">
        <w:r w:rsidRPr="000B6AEA">
          <w:rPr>
            <w:rStyle w:val="Hyperlink"/>
            <w:rFonts w:ascii="Times New Roman" w:hAnsi="Times New Roman" w:cs="Times New Roman"/>
            <w:i/>
            <w:iCs/>
            <w:sz w:val="24"/>
            <w:szCs w:val="24"/>
          </w:rPr>
          <w:t>Институционални и управленски предизвикателства</w:t>
        </w:r>
      </w:hyperlink>
    </w:p>
    <w:p w14:paraId="65806377" w14:textId="77777777" w:rsidR="002352F5" w:rsidRPr="00C35E6A" w:rsidRDefault="002352F5" w:rsidP="001F47B2">
      <w:pPr>
        <w:pStyle w:val="ListParagraph"/>
        <w:numPr>
          <w:ilvl w:val="1"/>
          <w:numId w:val="1"/>
        </w:numPr>
        <w:spacing w:after="0" w:line="360" w:lineRule="auto"/>
        <w:jc w:val="both"/>
        <w:rPr>
          <w:rFonts w:ascii="Times New Roman" w:hAnsi="Times New Roman" w:cs="Times New Roman"/>
          <w:i/>
          <w:iCs/>
          <w:sz w:val="24"/>
          <w:szCs w:val="24"/>
        </w:rPr>
      </w:pPr>
      <w:r w:rsidRPr="000B6AEA">
        <w:rPr>
          <w:rFonts w:ascii="Times New Roman" w:hAnsi="Times New Roman" w:cs="Times New Roman"/>
          <w:i/>
          <w:iCs/>
          <w:sz w:val="24"/>
          <w:szCs w:val="24"/>
        </w:rPr>
        <w:t xml:space="preserve">. </w:t>
      </w:r>
      <w:hyperlink w:anchor="four_three" w:history="1">
        <w:r w:rsidRPr="000B6AEA">
          <w:rPr>
            <w:rStyle w:val="Hyperlink"/>
            <w:rFonts w:ascii="Times New Roman" w:hAnsi="Times New Roman" w:cs="Times New Roman"/>
            <w:i/>
            <w:iCs/>
            <w:sz w:val="24"/>
            <w:szCs w:val="24"/>
          </w:rPr>
          <w:t>Казуси</w:t>
        </w:r>
      </w:hyperlink>
    </w:p>
    <w:p w14:paraId="0974B176" w14:textId="77777777" w:rsidR="002352F5" w:rsidRPr="00C35E6A" w:rsidRDefault="002352F5" w:rsidP="001F47B2">
      <w:pPr>
        <w:pStyle w:val="ListParagraph"/>
        <w:numPr>
          <w:ilvl w:val="1"/>
          <w:numId w:val="1"/>
        </w:numPr>
        <w:spacing w:after="0" w:line="360" w:lineRule="auto"/>
        <w:jc w:val="both"/>
        <w:rPr>
          <w:rFonts w:ascii="Times New Roman" w:hAnsi="Times New Roman" w:cs="Times New Roman"/>
          <w:i/>
          <w:iCs/>
          <w:sz w:val="24"/>
          <w:szCs w:val="24"/>
        </w:rPr>
      </w:pPr>
      <w:r w:rsidRPr="000B6AEA">
        <w:rPr>
          <w:rFonts w:ascii="Times New Roman" w:hAnsi="Times New Roman" w:cs="Times New Roman"/>
          <w:i/>
          <w:iCs/>
          <w:sz w:val="24"/>
          <w:szCs w:val="24"/>
        </w:rPr>
        <w:t xml:space="preserve">. </w:t>
      </w:r>
      <w:hyperlink w:anchor="four_four" w:history="1">
        <w:r w:rsidRPr="000B6AEA">
          <w:rPr>
            <w:rStyle w:val="Hyperlink"/>
            <w:rFonts w:ascii="Times New Roman" w:hAnsi="Times New Roman" w:cs="Times New Roman"/>
            <w:i/>
            <w:iCs/>
            <w:sz w:val="24"/>
            <w:szCs w:val="24"/>
          </w:rPr>
          <w:t>Ролята на вътрешните и външните фактори</w:t>
        </w:r>
      </w:hyperlink>
    </w:p>
    <w:p w14:paraId="5CC8BE8D" w14:textId="77777777" w:rsidR="00C25B2D" w:rsidRPr="00532CF3" w:rsidRDefault="00C25B2D" w:rsidP="001F47B2">
      <w:pPr>
        <w:pStyle w:val="ListParagraph"/>
        <w:numPr>
          <w:ilvl w:val="0"/>
          <w:numId w:val="1"/>
        </w:numPr>
        <w:spacing w:after="0" w:line="360" w:lineRule="auto"/>
        <w:jc w:val="both"/>
        <w:rPr>
          <w:rFonts w:ascii="Times New Roman" w:hAnsi="Times New Roman" w:cs="Times New Roman"/>
          <w:sz w:val="28"/>
          <w:szCs w:val="28"/>
        </w:rPr>
      </w:pPr>
      <w:hyperlink w:anchor="five" w:history="1">
        <w:r w:rsidRPr="000B6AEA">
          <w:rPr>
            <w:rStyle w:val="Hyperlink"/>
            <w:rFonts w:ascii="Times New Roman" w:hAnsi="Times New Roman" w:cs="Times New Roman"/>
            <w:sz w:val="28"/>
            <w:szCs w:val="28"/>
          </w:rPr>
          <w:t xml:space="preserve">Бъдещето </w:t>
        </w:r>
        <w:r w:rsidR="00FD4774" w:rsidRPr="000B6AEA">
          <w:rPr>
            <w:rStyle w:val="Hyperlink"/>
            <w:rFonts w:ascii="Times New Roman" w:hAnsi="Times New Roman" w:cs="Times New Roman"/>
            <w:sz w:val="28"/>
            <w:szCs w:val="28"/>
          </w:rPr>
          <w:t>на политиката на разширяване на ЕС</w:t>
        </w:r>
      </w:hyperlink>
    </w:p>
    <w:p w14:paraId="1C431A64" w14:textId="77777777" w:rsidR="008666B4" w:rsidRPr="00532CF3" w:rsidRDefault="008E1F21" w:rsidP="001F47B2">
      <w:pPr>
        <w:pStyle w:val="ListParagraph"/>
        <w:numPr>
          <w:ilvl w:val="1"/>
          <w:numId w:val="1"/>
        </w:numPr>
        <w:spacing w:after="0" w:line="360" w:lineRule="auto"/>
        <w:jc w:val="both"/>
        <w:rPr>
          <w:rFonts w:ascii="Times New Roman" w:hAnsi="Times New Roman" w:cs="Times New Roman"/>
          <w:i/>
          <w:iCs/>
          <w:sz w:val="24"/>
          <w:szCs w:val="24"/>
        </w:rPr>
      </w:pPr>
      <w:r>
        <w:rPr>
          <w:rFonts w:ascii="Times New Roman" w:hAnsi="Times New Roman" w:cs="Times New Roman"/>
          <w:sz w:val="28"/>
          <w:szCs w:val="28"/>
        </w:rPr>
        <w:t xml:space="preserve">. </w:t>
      </w:r>
      <w:hyperlink w:anchor="five_one" w:history="1">
        <w:r w:rsidRPr="000B6AEA">
          <w:rPr>
            <w:rStyle w:val="Hyperlink"/>
            <w:rFonts w:ascii="Times New Roman" w:hAnsi="Times New Roman" w:cs="Times New Roman"/>
            <w:i/>
            <w:iCs/>
            <w:sz w:val="24"/>
            <w:szCs w:val="24"/>
          </w:rPr>
          <w:t>Настоящо състояние и стратегически документи на ЕС (2024-2025 г.)</w:t>
        </w:r>
      </w:hyperlink>
    </w:p>
    <w:p w14:paraId="555828C5" w14:textId="77777777" w:rsidR="008E1F21" w:rsidRPr="0054320F" w:rsidRDefault="008E1F21" w:rsidP="001F47B2">
      <w:pPr>
        <w:pStyle w:val="ListParagraph"/>
        <w:numPr>
          <w:ilvl w:val="1"/>
          <w:numId w:val="1"/>
        </w:numPr>
        <w:spacing w:after="0" w:line="360" w:lineRule="auto"/>
        <w:jc w:val="both"/>
        <w:rPr>
          <w:rFonts w:ascii="Times New Roman" w:hAnsi="Times New Roman" w:cs="Times New Roman"/>
          <w:i/>
          <w:iCs/>
          <w:sz w:val="24"/>
          <w:szCs w:val="24"/>
          <w:lang w:val="en-GB"/>
        </w:rPr>
      </w:pPr>
      <w:r w:rsidRPr="0054320F">
        <w:rPr>
          <w:rFonts w:ascii="Times New Roman" w:hAnsi="Times New Roman" w:cs="Times New Roman"/>
          <w:i/>
          <w:iCs/>
          <w:sz w:val="24"/>
          <w:szCs w:val="24"/>
        </w:rPr>
        <w:t xml:space="preserve">. </w:t>
      </w:r>
      <w:hyperlink w:anchor="five_two" w:history="1">
        <w:r w:rsidRPr="000B6AEA">
          <w:rPr>
            <w:rStyle w:val="Hyperlink"/>
            <w:rFonts w:ascii="Times New Roman" w:hAnsi="Times New Roman" w:cs="Times New Roman"/>
            <w:i/>
            <w:iCs/>
            <w:sz w:val="24"/>
            <w:szCs w:val="24"/>
          </w:rPr>
          <w:t xml:space="preserve">Възможни </w:t>
        </w:r>
        <w:r w:rsidR="007A5A5C" w:rsidRPr="000B6AEA">
          <w:rPr>
            <w:rStyle w:val="Hyperlink"/>
            <w:rFonts w:ascii="Times New Roman" w:hAnsi="Times New Roman" w:cs="Times New Roman"/>
            <w:i/>
            <w:iCs/>
            <w:sz w:val="24"/>
            <w:szCs w:val="24"/>
          </w:rPr>
          <w:t>сценарии за развитие</w:t>
        </w:r>
      </w:hyperlink>
    </w:p>
    <w:p w14:paraId="3221017B" w14:textId="77777777" w:rsidR="007A5A5C" w:rsidRPr="000B6AEA" w:rsidRDefault="007A5A5C" w:rsidP="001F47B2">
      <w:pPr>
        <w:pStyle w:val="ListParagraph"/>
        <w:numPr>
          <w:ilvl w:val="1"/>
          <w:numId w:val="1"/>
        </w:numPr>
        <w:spacing w:after="0" w:line="360" w:lineRule="auto"/>
        <w:jc w:val="both"/>
        <w:rPr>
          <w:rFonts w:ascii="Times New Roman" w:hAnsi="Times New Roman" w:cs="Times New Roman"/>
          <w:i/>
          <w:iCs/>
          <w:sz w:val="24"/>
          <w:szCs w:val="24"/>
        </w:rPr>
      </w:pPr>
      <w:r w:rsidRPr="0054320F">
        <w:rPr>
          <w:rFonts w:ascii="Times New Roman" w:hAnsi="Times New Roman" w:cs="Times New Roman"/>
          <w:i/>
          <w:iCs/>
          <w:sz w:val="24"/>
          <w:szCs w:val="24"/>
        </w:rPr>
        <w:t xml:space="preserve">. </w:t>
      </w:r>
      <w:hyperlink w:anchor="five_three" w:history="1">
        <w:r w:rsidRPr="000B6AEA">
          <w:rPr>
            <w:rStyle w:val="Hyperlink"/>
            <w:rFonts w:ascii="Times New Roman" w:hAnsi="Times New Roman" w:cs="Times New Roman"/>
            <w:i/>
            <w:iCs/>
            <w:sz w:val="24"/>
            <w:szCs w:val="24"/>
          </w:rPr>
          <w:t>Препоръки за преодоляване на “умората” и засилване на обществената подкре</w:t>
        </w:r>
        <w:r w:rsidR="0054320F" w:rsidRPr="000B6AEA">
          <w:rPr>
            <w:rStyle w:val="Hyperlink"/>
            <w:rFonts w:ascii="Times New Roman" w:hAnsi="Times New Roman" w:cs="Times New Roman"/>
            <w:i/>
            <w:iCs/>
            <w:sz w:val="24"/>
            <w:szCs w:val="24"/>
          </w:rPr>
          <w:t>па</w:t>
        </w:r>
      </w:hyperlink>
    </w:p>
    <w:p w14:paraId="3742A573" w14:textId="77777777" w:rsidR="00775842" w:rsidRPr="002F7C9E" w:rsidRDefault="002A5E21" w:rsidP="001F47B2">
      <w:pPr>
        <w:pStyle w:val="ListParagraph"/>
        <w:numPr>
          <w:ilvl w:val="0"/>
          <w:numId w:val="1"/>
        </w:numPr>
        <w:spacing w:after="0" w:line="360" w:lineRule="auto"/>
        <w:jc w:val="both"/>
        <w:rPr>
          <w:rFonts w:ascii="Times New Roman" w:hAnsi="Times New Roman" w:cs="Times New Roman"/>
          <w:sz w:val="28"/>
          <w:szCs w:val="28"/>
          <w:lang w:val="en-GB"/>
        </w:rPr>
      </w:pPr>
      <w:hyperlink w:anchor="six" w:history="1">
        <w:r w:rsidRPr="000B6AEA">
          <w:rPr>
            <w:rStyle w:val="Hyperlink"/>
            <w:rFonts w:ascii="Times New Roman" w:hAnsi="Times New Roman" w:cs="Times New Roman"/>
            <w:sz w:val="28"/>
            <w:szCs w:val="28"/>
          </w:rPr>
          <w:t>Заключени</w:t>
        </w:r>
        <w:r w:rsidR="00253121" w:rsidRPr="000B6AEA">
          <w:rPr>
            <w:rStyle w:val="Hyperlink"/>
            <w:rFonts w:ascii="Times New Roman" w:hAnsi="Times New Roman" w:cs="Times New Roman"/>
            <w:sz w:val="28"/>
            <w:szCs w:val="28"/>
          </w:rPr>
          <w:t>е</w:t>
        </w:r>
      </w:hyperlink>
    </w:p>
    <w:p w14:paraId="12D1F77C" w14:textId="77777777" w:rsidR="00910F66" w:rsidRPr="002F7C9E" w:rsidRDefault="00FD4774" w:rsidP="001F47B2">
      <w:pPr>
        <w:pStyle w:val="ListParagraph"/>
        <w:numPr>
          <w:ilvl w:val="0"/>
          <w:numId w:val="1"/>
        </w:numPr>
        <w:spacing w:after="0" w:line="360" w:lineRule="auto"/>
        <w:jc w:val="both"/>
        <w:rPr>
          <w:rFonts w:ascii="Times New Roman" w:hAnsi="Times New Roman" w:cs="Times New Roman"/>
          <w:sz w:val="28"/>
          <w:szCs w:val="28"/>
        </w:rPr>
      </w:pPr>
      <w:hyperlink w:anchor="seven" w:history="1">
        <w:r w:rsidRPr="000B6AEA">
          <w:rPr>
            <w:rStyle w:val="Hyperlink"/>
            <w:rFonts w:ascii="Times New Roman" w:hAnsi="Times New Roman" w:cs="Times New Roman"/>
            <w:sz w:val="28"/>
            <w:szCs w:val="28"/>
          </w:rPr>
          <w:t>Библиография</w:t>
        </w:r>
      </w:hyperlink>
    </w:p>
    <w:p w14:paraId="1C100732" w14:textId="77777777" w:rsidR="007E7A08" w:rsidRPr="005D7152" w:rsidRDefault="007E7A08" w:rsidP="001F47B2">
      <w:pPr>
        <w:spacing w:after="0" w:line="360" w:lineRule="auto"/>
        <w:jc w:val="both"/>
        <w:rPr>
          <w:rFonts w:ascii="Times New Roman" w:hAnsi="Times New Roman" w:cs="Times New Roman"/>
          <w:sz w:val="24"/>
          <w:szCs w:val="24"/>
        </w:rPr>
      </w:pPr>
    </w:p>
    <w:p w14:paraId="2DF0D704" w14:textId="77777777" w:rsidR="002B3A5F" w:rsidRDefault="002B3A5F" w:rsidP="001F47B2">
      <w:pPr>
        <w:spacing w:after="0" w:line="360" w:lineRule="auto"/>
        <w:jc w:val="both"/>
        <w:rPr>
          <w:rFonts w:ascii="Times New Roman" w:hAnsi="Times New Roman" w:cs="Times New Roman"/>
          <w:sz w:val="24"/>
          <w:szCs w:val="24"/>
        </w:rPr>
      </w:pPr>
    </w:p>
    <w:p w14:paraId="0B7583BB" w14:textId="77777777" w:rsidR="002B3A5F" w:rsidRDefault="002B3A5F" w:rsidP="001F47B2">
      <w:pPr>
        <w:spacing w:after="0" w:line="360" w:lineRule="auto"/>
        <w:jc w:val="both"/>
        <w:rPr>
          <w:rFonts w:ascii="Times New Roman" w:hAnsi="Times New Roman" w:cs="Times New Roman"/>
          <w:sz w:val="24"/>
          <w:szCs w:val="24"/>
        </w:rPr>
      </w:pPr>
    </w:p>
    <w:p w14:paraId="364B5727" w14:textId="77777777" w:rsidR="002B3A5F" w:rsidRDefault="002B3A5F" w:rsidP="001F47B2">
      <w:pPr>
        <w:spacing w:after="0" w:line="360" w:lineRule="auto"/>
        <w:jc w:val="both"/>
        <w:rPr>
          <w:rFonts w:ascii="Times New Roman" w:hAnsi="Times New Roman" w:cs="Times New Roman"/>
          <w:sz w:val="24"/>
          <w:szCs w:val="24"/>
        </w:rPr>
      </w:pPr>
    </w:p>
    <w:p w14:paraId="035B522E" w14:textId="77777777" w:rsidR="002B3A5F" w:rsidRDefault="002B3A5F" w:rsidP="001F47B2">
      <w:pPr>
        <w:spacing w:after="0" w:line="360" w:lineRule="auto"/>
        <w:jc w:val="both"/>
        <w:rPr>
          <w:rFonts w:ascii="Times New Roman" w:hAnsi="Times New Roman" w:cs="Times New Roman"/>
          <w:sz w:val="24"/>
          <w:szCs w:val="24"/>
        </w:rPr>
      </w:pPr>
    </w:p>
    <w:p w14:paraId="616C6E79" w14:textId="77777777" w:rsidR="002B44CE" w:rsidRDefault="002B44CE" w:rsidP="001F47B2">
      <w:pPr>
        <w:spacing w:after="0" w:line="360" w:lineRule="auto"/>
        <w:jc w:val="both"/>
        <w:rPr>
          <w:rFonts w:ascii="Times New Roman" w:hAnsi="Times New Roman" w:cs="Times New Roman"/>
          <w:sz w:val="24"/>
          <w:szCs w:val="24"/>
        </w:rPr>
      </w:pPr>
    </w:p>
    <w:p w14:paraId="17D707E7" w14:textId="77777777" w:rsidR="002B44CE" w:rsidRDefault="002B44CE" w:rsidP="001F47B2">
      <w:pPr>
        <w:spacing w:after="0" w:line="360" w:lineRule="auto"/>
        <w:jc w:val="both"/>
        <w:rPr>
          <w:rFonts w:ascii="Times New Roman" w:hAnsi="Times New Roman" w:cs="Times New Roman"/>
          <w:sz w:val="24"/>
          <w:szCs w:val="24"/>
        </w:rPr>
      </w:pPr>
    </w:p>
    <w:p w14:paraId="625BC066" w14:textId="46538E02" w:rsidR="002B44CE" w:rsidRDefault="002B44CE" w:rsidP="001F47B2">
      <w:pPr>
        <w:spacing w:after="0" w:line="360" w:lineRule="auto"/>
        <w:jc w:val="both"/>
        <w:rPr>
          <w:rFonts w:ascii="Times New Roman" w:hAnsi="Times New Roman" w:cs="Times New Roman"/>
          <w:sz w:val="24"/>
          <w:szCs w:val="24"/>
        </w:rPr>
        <w:sectPr w:rsidR="002B44CE" w:rsidSect="002B44CE">
          <w:footerReference w:type="first" r:id="rId8"/>
          <w:pgSz w:w="11906" w:h="16838" w:code="9"/>
          <w:pgMar w:top="851" w:right="851" w:bottom="567" w:left="851" w:header="426" w:footer="556" w:gutter="0"/>
          <w:pgNumType w:start="1"/>
          <w:cols w:space="708"/>
          <w:docGrid w:linePitch="360"/>
        </w:sectPr>
      </w:pPr>
    </w:p>
    <w:p w14:paraId="74F0F818" w14:textId="77777777" w:rsidR="00F574AB" w:rsidRPr="002B44CE" w:rsidRDefault="00F574AB" w:rsidP="002B44CE">
      <w:pPr>
        <w:pStyle w:val="ListParagraph"/>
        <w:numPr>
          <w:ilvl w:val="0"/>
          <w:numId w:val="30"/>
        </w:numPr>
        <w:spacing w:line="360" w:lineRule="auto"/>
        <w:jc w:val="both"/>
        <w:rPr>
          <w:rFonts w:ascii="Times New Roman" w:hAnsi="Times New Roman" w:cs="Times New Roman"/>
          <w:b/>
          <w:bCs/>
          <w:sz w:val="28"/>
          <w:szCs w:val="28"/>
        </w:rPr>
      </w:pPr>
      <w:bookmarkStart w:id="0" w:name="one"/>
      <w:r w:rsidRPr="002B44CE">
        <w:rPr>
          <w:rFonts w:ascii="Times New Roman" w:hAnsi="Times New Roman" w:cs="Times New Roman"/>
          <w:b/>
          <w:bCs/>
          <w:sz w:val="28"/>
          <w:szCs w:val="28"/>
        </w:rPr>
        <w:lastRenderedPageBreak/>
        <w:t>Увод</w:t>
      </w:r>
    </w:p>
    <w:bookmarkEnd w:id="0"/>
    <w:p w14:paraId="5B6AB843" w14:textId="77777777" w:rsidR="00D96BDF" w:rsidRPr="00D96BDF" w:rsidRDefault="00D96BDF" w:rsidP="001F47B2">
      <w:pPr>
        <w:pStyle w:val="p1"/>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Политиката на разширяване на Европейския съюз (ЕС) е един от ключовите двигатели на европейската интеграция и фактор за стабилност, икономическо развитие и демократизация на европейския континент. През последните десетилетия тя допринася съществено за превръщането на ЕС в глобален политически и икономически актьор. Въпреки това, през последните години все по-често се поставя въпросът дали в рамките на Съюза не се наблюдава т.нар. „</w:t>
      </w:r>
      <w:r w:rsidRPr="00FD4774">
        <w:rPr>
          <w:rStyle w:val="s1"/>
          <w:rFonts w:ascii="Times New Roman" w:hAnsi="Times New Roman"/>
          <w:i/>
          <w:iCs/>
          <w:sz w:val="24"/>
          <w:szCs w:val="24"/>
          <w:lang w:val="bg-BG"/>
        </w:rPr>
        <w:t>умора от разширяването</w:t>
      </w:r>
      <w:r w:rsidRPr="00D96BDF">
        <w:rPr>
          <w:rStyle w:val="s1"/>
          <w:rFonts w:ascii="Times New Roman" w:hAnsi="Times New Roman"/>
          <w:sz w:val="24"/>
          <w:szCs w:val="24"/>
          <w:lang w:val="bg-BG"/>
        </w:rPr>
        <w:t>“</w:t>
      </w:r>
      <w:r w:rsidR="003731E8">
        <w:rPr>
          <w:rStyle w:val="s1"/>
          <w:rFonts w:ascii="Times New Roman" w:hAnsi="Times New Roman"/>
          <w:sz w:val="24"/>
          <w:szCs w:val="24"/>
          <w:lang w:val="bg-BG"/>
        </w:rPr>
        <w:t xml:space="preserve"> - </w:t>
      </w:r>
      <w:r w:rsidRPr="00D96BDF">
        <w:rPr>
          <w:rStyle w:val="s1"/>
          <w:rFonts w:ascii="Times New Roman" w:hAnsi="Times New Roman"/>
          <w:sz w:val="24"/>
          <w:szCs w:val="24"/>
          <w:lang w:val="bg-BG"/>
        </w:rPr>
        <w:t xml:space="preserve">процес на институционално, политическо и обществено забавяне на стремежа към приемане на нови членки. Тази тенденция поражда напрежение между две основни насоки на развитие на ЕС </w:t>
      </w:r>
      <w:r w:rsidR="003731E8">
        <w:rPr>
          <w:rStyle w:val="s1"/>
          <w:rFonts w:ascii="Times New Roman" w:hAnsi="Times New Roman"/>
          <w:sz w:val="24"/>
          <w:szCs w:val="24"/>
          <w:lang w:val="bg-BG"/>
        </w:rPr>
        <w:t>-</w:t>
      </w:r>
      <w:r w:rsidRPr="00D96BDF">
        <w:rPr>
          <w:rStyle w:val="s1"/>
          <w:rFonts w:ascii="Times New Roman" w:hAnsi="Times New Roman"/>
          <w:sz w:val="24"/>
          <w:szCs w:val="24"/>
          <w:lang w:val="bg-BG"/>
        </w:rPr>
        <w:t xml:space="preserve"> от една страна, продължаване на разширяването към нови държави, а от друга </w:t>
      </w:r>
      <w:r w:rsidR="003731E8">
        <w:rPr>
          <w:rStyle w:val="s1"/>
          <w:rFonts w:ascii="Times New Roman" w:hAnsi="Times New Roman"/>
          <w:sz w:val="24"/>
          <w:szCs w:val="24"/>
          <w:lang w:val="bg-BG"/>
        </w:rPr>
        <w:t>-</w:t>
      </w:r>
      <w:r w:rsidRPr="00D96BDF">
        <w:rPr>
          <w:rStyle w:val="s1"/>
          <w:rFonts w:ascii="Times New Roman" w:hAnsi="Times New Roman"/>
          <w:sz w:val="24"/>
          <w:szCs w:val="24"/>
          <w:lang w:val="bg-BG"/>
        </w:rPr>
        <w:t xml:space="preserve"> задълбочаване на интеграционните процеси вътре в самия Съюз.</w:t>
      </w:r>
    </w:p>
    <w:p w14:paraId="282BD2CF" w14:textId="77777777" w:rsidR="00D96BDF" w:rsidRPr="00D96BDF" w:rsidRDefault="00D96BDF" w:rsidP="001F47B2">
      <w:pPr>
        <w:pStyle w:val="p1"/>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Актуалността на темата е безспорна, тъй като тя засяга стратегическото бъдеще на ЕС и неговата способност да отговори на вътрешни и външни предизвикателства. След последните големи вълни на разширяване през 2004 и 2007 г., а впоследствие и присъединяването на Хърватия през 2013 г., вниманието на европейските институции се насочи към проблеми като управлението на миграцията, икономическите неравенства, сигурността и климатичните промени. В този контекст разширяването към Западните Балкани, както и засилените амбиции на Украйна, Молдова и Грузия за членство в ЕС, поставят отново на дневен ред въпроса дали Съюзът има политическата воля и институционален капацитет да продължи да се разширява.</w:t>
      </w:r>
      <w:r w:rsidR="007E7EDE">
        <w:rPr>
          <w:rStyle w:val="s1"/>
          <w:rFonts w:ascii="Times New Roman" w:hAnsi="Times New Roman"/>
          <w:sz w:val="24"/>
          <w:szCs w:val="24"/>
          <w:lang w:val="bg-BG"/>
        </w:rPr>
        <w:t xml:space="preserve"> </w:t>
      </w:r>
      <w:r w:rsidRPr="00D96BDF">
        <w:rPr>
          <w:rStyle w:val="s1"/>
          <w:rFonts w:ascii="Times New Roman" w:hAnsi="Times New Roman"/>
          <w:sz w:val="24"/>
          <w:szCs w:val="24"/>
          <w:lang w:val="bg-BG"/>
        </w:rPr>
        <w:t>„</w:t>
      </w:r>
      <w:r w:rsidR="007E7EDE">
        <w:rPr>
          <w:rStyle w:val="s1"/>
          <w:rFonts w:ascii="Times New Roman" w:hAnsi="Times New Roman"/>
          <w:sz w:val="24"/>
          <w:szCs w:val="24"/>
          <w:lang w:val="bg-BG"/>
        </w:rPr>
        <w:t>У</w:t>
      </w:r>
      <w:r w:rsidRPr="00D96BDF">
        <w:rPr>
          <w:rStyle w:val="s1"/>
          <w:rFonts w:ascii="Times New Roman" w:hAnsi="Times New Roman"/>
          <w:sz w:val="24"/>
          <w:szCs w:val="24"/>
          <w:lang w:val="bg-BG"/>
        </w:rPr>
        <w:t>мора</w:t>
      </w:r>
      <w:r w:rsidR="007E7EDE">
        <w:rPr>
          <w:rStyle w:val="s1"/>
          <w:rFonts w:ascii="Times New Roman" w:hAnsi="Times New Roman"/>
          <w:sz w:val="24"/>
          <w:szCs w:val="24"/>
          <w:lang w:val="bg-BG"/>
        </w:rPr>
        <w:t>та</w:t>
      </w:r>
      <w:r w:rsidRPr="00D96BDF">
        <w:rPr>
          <w:rStyle w:val="s1"/>
          <w:rFonts w:ascii="Times New Roman" w:hAnsi="Times New Roman"/>
          <w:sz w:val="24"/>
          <w:szCs w:val="24"/>
          <w:lang w:val="bg-BG"/>
        </w:rPr>
        <w:t xml:space="preserve"> от разширяването“ не е просто израз на скептицизъм, а отражение на по-дълбоки процеси </w:t>
      </w:r>
      <w:r w:rsidR="007E7EDE">
        <w:rPr>
          <w:rStyle w:val="s1"/>
          <w:rFonts w:ascii="Times New Roman" w:hAnsi="Times New Roman"/>
          <w:sz w:val="24"/>
          <w:szCs w:val="24"/>
          <w:lang w:val="bg-BG"/>
        </w:rPr>
        <w:t>-</w:t>
      </w:r>
      <w:r w:rsidRPr="00D96BDF">
        <w:rPr>
          <w:rStyle w:val="s1"/>
          <w:rFonts w:ascii="Times New Roman" w:hAnsi="Times New Roman"/>
          <w:sz w:val="24"/>
          <w:szCs w:val="24"/>
          <w:lang w:val="bg-BG"/>
        </w:rPr>
        <w:t xml:space="preserve"> нарастващ евроскептицизъм, вътрешни противоречия и различни виждания относно бъдещето на интеграцията.</w:t>
      </w:r>
    </w:p>
    <w:p w14:paraId="34431B54" w14:textId="77777777" w:rsidR="00D96BDF" w:rsidRPr="00D96BDF" w:rsidRDefault="00D96BDF" w:rsidP="001F47B2">
      <w:pPr>
        <w:pStyle w:val="p1"/>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Целта на настоящия реферат е да се анализира дали действително съществува „</w:t>
      </w:r>
      <w:r w:rsidRPr="00C1383C">
        <w:rPr>
          <w:rStyle w:val="s1"/>
          <w:rFonts w:ascii="Times New Roman" w:hAnsi="Times New Roman"/>
          <w:i/>
          <w:iCs/>
          <w:sz w:val="24"/>
          <w:szCs w:val="24"/>
          <w:lang w:val="bg-BG"/>
        </w:rPr>
        <w:t>умора от разширяването</w:t>
      </w:r>
      <w:r w:rsidRPr="00D96BDF">
        <w:rPr>
          <w:rStyle w:val="s1"/>
          <w:rFonts w:ascii="Times New Roman" w:hAnsi="Times New Roman"/>
          <w:sz w:val="24"/>
          <w:szCs w:val="24"/>
          <w:lang w:val="bg-BG"/>
        </w:rPr>
        <w:t>“ в рамките на ЕС и в каква степен това явление влияе върху баланса между политиката на разширяване и процесите на вътрешно задълбочаване на интеграцията.</w:t>
      </w:r>
    </w:p>
    <w:p w14:paraId="0D7C2DFA" w14:textId="77777777" w:rsidR="00D96BDF" w:rsidRPr="00D96BDF" w:rsidRDefault="00D96BDF" w:rsidP="001F47B2">
      <w:pPr>
        <w:pStyle w:val="p1"/>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За постигането на тази цел се поставят следните задачи:</w:t>
      </w:r>
    </w:p>
    <w:p w14:paraId="6FFC75BB" w14:textId="77777777" w:rsidR="00D96BDF" w:rsidRDefault="00D96BDF" w:rsidP="001F47B2">
      <w:pPr>
        <w:pStyle w:val="p1"/>
        <w:numPr>
          <w:ilvl w:val="0"/>
          <w:numId w:val="23"/>
        </w:numPr>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да се проследи историческото развитие и институционалната рамка на политиката на разширяване на ЕС;</w:t>
      </w:r>
    </w:p>
    <w:p w14:paraId="433D83B0" w14:textId="77777777" w:rsidR="00D96BDF" w:rsidRDefault="00D96BDF" w:rsidP="001F47B2">
      <w:pPr>
        <w:pStyle w:val="p1"/>
        <w:numPr>
          <w:ilvl w:val="0"/>
          <w:numId w:val="23"/>
        </w:numPr>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да се изясни съдържанието и проявленията на понятието „</w:t>
      </w:r>
      <w:r w:rsidRPr="00C1383C">
        <w:rPr>
          <w:rStyle w:val="s1"/>
          <w:rFonts w:ascii="Times New Roman" w:hAnsi="Times New Roman"/>
          <w:i/>
          <w:iCs/>
          <w:sz w:val="24"/>
          <w:szCs w:val="24"/>
          <w:lang w:val="bg-BG"/>
        </w:rPr>
        <w:t>умора от разширяването</w:t>
      </w:r>
      <w:r w:rsidRPr="00D96BDF">
        <w:rPr>
          <w:rStyle w:val="s1"/>
          <w:rFonts w:ascii="Times New Roman" w:hAnsi="Times New Roman"/>
          <w:sz w:val="24"/>
          <w:szCs w:val="24"/>
          <w:lang w:val="bg-BG"/>
        </w:rPr>
        <w:t>“;</w:t>
      </w:r>
    </w:p>
    <w:p w14:paraId="29F1E16A" w14:textId="77777777" w:rsidR="00D96BDF" w:rsidRDefault="00D96BDF" w:rsidP="001F47B2">
      <w:pPr>
        <w:pStyle w:val="p1"/>
        <w:numPr>
          <w:ilvl w:val="0"/>
          <w:numId w:val="23"/>
        </w:numPr>
        <w:spacing w:line="360" w:lineRule="auto"/>
        <w:jc w:val="both"/>
        <w:divId w:val="564337345"/>
        <w:rPr>
          <w:rStyle w:val="s1"/>
          <w:rFonts w:ascii="Times New Roman" w:hAnsi="Times New Roman"/>
          <w:sz w:val="24"/>
          <w:szCs w:val="24"/>
          <w:lang w:val="bg-BG"/>
        </w:rPr>
      </w:pPr>
      <w:r w:rsidRPr="00D96BDF">
        <w:rPr>
          <w:rStyle w:val="s1"/>
          <w:rFonts w:ascii="Times New Roman" w:hAnsi="Times New Roman"/>
          <w:sz w:val="24"/>
          <w:szCs w:val="24"/>
          <w:lang w:val="bg-BG"/>
        </w:rPr>
        <w:t xml:space="preserve">да се анализират факторите, </w:t>
      </w:r>
      <w:proofErr w:type="spellStart"/>
      <w:r w:rsidRPr="00D96BDF">
        <w:rPr>
          <w:rStyle w:val="s1"/>
          <w:rFonts w:ascii="Times New Roman" w:hAnsi="Times New Roman"/>
          <w:sz w:val="24"/>
          <w:szCs w:val="24"/>
          <w:lang w:val="bg-BG"/>
        </w:rPr>
        <w:t>които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водят</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до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възникване</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това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явление</w:t>
      </w:r>
      <w:proofErr w:type="spellEnd"/>
      <w:r w:rsidRPr="00D96BDF">
        <w:rPr>
          <w:rStyle w:val="s1"/>
          <w:rFonts w:ascii="Times New Roman" w:hAnsi="Times New Roman"/>
          <w:sz w:val="24"/>
          <w:szCs w:val="24"/>
          <w:lang w:val="bg-BG"/>
        </w:rPr>
        <w:t xml:space="preserve"> – </w:t>
      </w:r>
      <w:proofErr w:type="spellStart"/>
      <w:r w:rsidRPr="00D96BDF">
        <w:rPr>
          <w:rStyle w:val="s1"/>
          <w:rFonts w:ascii="Times New Roman" w:hAnsi="Times New Roman"/>
          <w:sz w:val="24"/>
          <w:szCs w:val="24"/>
          <w:lang w:val="bg-BG"/>
        </w:rPr>
        <w:t>политически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икономически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социални</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институционални</w:t>
      </w:r>
      <w:proofErr w:type="spellEnd"/>
      <w:r w:rsidRPr="00D96BDF">
        <w:rPr>
          <w:rStyle w:val="s1"/>
          <w:rFonts w:ascii="Times New Roman" w:hAnsi="Times New Roman"/>
          <w:sz w:val="24"/>
          <w:szCs w:val="24"/>
          <w:lang w:val="bg-BG"/>
        </w:rPr>
        <w:t>;</w:t>
      </w:r>
    </w:p>
    <w:p w14:paraId="3F615741" w14:textId="77777777" w:rsidR="00D96BDF" w:rsidRDefault="00D96BDF" w:rsidP="001F47B2">
      <w:pPr>
        <w:pStyle w:val="p1"/>
        <w:numPr>
          <w:ilvl w:val="0"/>
          <w:numId w:val="23"/>
        </w:numPr>
        <w:spacing w:line="360" w:lineRule="auto"/>
        <w:jc w:val="both"/>
        <w:divId w:val="564337345"/>
        <w:rPr>
          <w:rStyle w:val="s1"/>
          <w:rFonts w:ascii="Times New Roman" w:hAnsi="Times New Roman"/>
          <w:sz w:val="24"/>
          <w:szCs w:val="24"/>
          <w:lang w:val="bg-BG"/>
        </w:rPr>
      </w:pPr>
      <w:proofErr w:type="spellStart"/>
      <w:r w:rsidRPr="00D96BDF">
        <w:rPr>
          <w:rStyle w:val="s1"/>
          <w:rFonts w:ascii="Times New Roman" w:hAnsi="Times New Roman"/>
          <w:sz w:val="24"/>
          <w:szCs w:val="24"/>
          <w:lang w:val="bg-BG"/>
        </w:rPr>
        <w:t>да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разгледа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напрежението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между</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разширяване</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задълбочаване</w:t>
      </w:r>
      <w:proofErr w:type="spellEnd"/>
      <w:r w:rsidRPr="00D96BDF">
        <w:rPr>
          <w:rStyle w:val="s1"/>
          <w:rFonts w:ascii="Times New Roman" w:hAnsi="Times New Roman"/>
          <w:sz w:val="24"/>
          <w:szCs w:val="24"/>
          <w:lang w:val="bg-BG"/>
        </w:rPr>
        <w:t xml:space="preserve"> на интеграцията;</w:t>
      </w:r>
    </w:p>
    <w:p w14:paraId="145D37DA" w14:textId="77777777" w:rsidR="00D96BDF" w:rsidRPr="00D96BDF" w:rsidRDefault="00D96BDF" w:rsidP="001F47B2">
      <w:pPr>
        <w:pStyle w:val="p1"/>
        <w:numPr>
          <w:ilvl w:val="0"/>
          <w:numId w:val="23"/>
        </w:numPr>
        <w:spacing w:line="360" w:lineRule="auto"/>
        <w:jc w:val="both"/>
        <w:divId w:val="564337345"/>
        <w:rPr>
          <w:rStyle w:val="s1"/>
          <w:rFonts w:ascii="Times New Roman" w:hAnsi="Times New Roman"/>
          <w:sz w:val="24"/>
          <w:szCs w:val="24"/>
          <w:lang w:val="bg-BG"/>
        </w:rPr>
      </w:pPr>
      <w:proofErr w:type="spellStart"/>
      <w:r w:rsidRPr="00D96BDF">
        <w:rPr>
          <w:rStyle w:val="s1"/>
          <w:rFonts w:ascii="Times New Roman" w:hAnsi="Times New Roman"/>
          <w:sz w:val="24"/>
          <w:szCs w:val="24"/>
          <w:lang w:val="bg-BG"/>
        </w:rPr>
        <w:t>да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представят</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възможни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сценарии</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перспективи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за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бъдещето</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политиката</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разширяване</w:t>
      </w:r>
      <w:proofErr w:type="spellEnd"/>
      <w:r w:rsidRPr="00D96BDF">
        <w:rPr>
          <w:rStyle w:val="s1"/>
          <w:rFonts w:ascii="Times New Roman" w:hAnsi="Times New Roman"/>
          <w:sz w:val="24"/>
          <w:szCs w:val="24"/>
          <w:lang w:val="bg-BG"/>
        </w:rPr>
        <w:t>.</w:t>
      </w:r>
    </w:p>
    <w:p w14:paraId="57345480" w14:textId="77777777" w:rsidR="00B357BE" w:rsidRPr="00DA7204" w:rsidRDefault="00D96BDF" w:rsidP="001F47B2">
      <w:pPr>
        <w:pStyle w:val="p1"/>
        <w:spacing w:line="360" w:lineRule="auto"/>
        <w:jc w:val="both"/>
        <w:divId w:val="564337345"/>
        <w:rPr>
          <w:rFonts w:ascii="Times New Roman" w:hAnsi="Times New Roman"/>
          <w:sz w:val="24"/>
          <w:szCs w:val="24"/>
          <w:lang w:val="bg-BG"/>
        </w:rPr>
      </w:pPr>
      <w:r w:rsidRPr="00D96BDF">
        <w:rPr>
          <w:rStyle w:val="s1"/>
          <w:rFonts w:ascii="Times New Roman" w:hAnsi="Times New Roman"/>
          <w:sz w:val="24"/>
          <w:szCs w:val="24"/>
          <w:lang w:val="bg-BG"/>
        </w:rPr>
        <w:t xml:space="preserve">Обектът на </w:t>
      </w:r>
      <w:proofErr w:type="spellStart"/>
      <w:r w:rsidRPr="00D96BDF">
        <w:rPr>
          <w:rStyle w:val="s1"/>
          <w:rFonts w:ascii="Times New Roman" w:hAnsi="Times New Roman"/>
          <w:sz w:val="24"/>
          <w:szCs w:val="24"/>
          <w:lang w:val="bg-BG"/>
        </w:rPr>
        <w:t>изследването</w:t>
      </w:r>
      <w:proofErr w:type="spellEnd"/>
      <w:r w:rsidRPr="00D96BDF">
        <w:rPr>
          <w:rStyle w:val="s1"/>
          <w:rFonts w:ascii="Times New Roman" w:hAnsi="Times New Roman"/>
          <w:sz w:val="24"/>
          <w:szCs w:val="24"/>
          <w:lang w:val="bg-BG"/>
        </w:rPr>
        <w:t xml:space="preserve"> е </w:t>
      </w:r>
      <w:proofErr w:type="spellStart"/>
      <w:r w:rsidRPr="00D96BDF">
        <w:rPr>
          <w:rStyle w:val="s1"/>
          <w:rFonts w:ascii="Times New Roman" w:hAnsi="Times New Roman"/>
          <w:sz w:val="24"/>
          <w:szCs w:val="24"/>
          <w:lang w:val="bg-BG"/>
        </w:rPr>
        <w:t>политиката</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разширяване</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Европейския</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съюз</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като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част</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от</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неговата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обща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външна</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интеграционна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политика</w:t>
      </w:r>
      <w:proofErr w:type="spellEnd"/>
      <w:r w:rsidRPr="00D96BDF">
        <w:rPr>
          <w:rStyle w:val="s1"/>
          <w:rFonts w:ascii="Times New Roman" w:hAnsi="Times New Roman"/>
          <w:sz w:val="24"/>
          <w:szCs w:val="24"/>
          <w:lang w:val="bg-BG"/>
        </w:rPr>
        <w:t>.</w:t>
      </w:r>
      <w:r w:rsidR="00CB2925" w:rsidRPr="00532CF3">
        <w:rPr>
          <w:rStyle w:val="s1"/>
          <w:rFonts w:ascii="Times New Roman" w:hAnsi="Times New Roman"/>
          <w:sz w:val="24"/>
          <w:szCs w:val="24"/>
          <w:lang w:val="bg-BG"/>
        </w:rPr>
        <w:t xml:space="preserve"> </w:t>
      </w:r>
      <w:r w:rsidRPr="00D96BDF">
        <w:rPr>
          <w:rStyle w:val="s1"/>
          <w:rFonts w:ascii="Times New Roman" w:hAnsi="Times New Roman"/>
          <w:sz w:val="24"/>
          <w:szCs w:val="24"/>
          <w:lang w:val="bg-BG"/>
        </w:rPr>
        <w:t xml:space="preserve">Предметът на </w:t>
      </w:r>
      <w:proofErr w:type="spellStart"/>
      <w:r w:rsidRPr="00D96BDF">
        <w:rPr>
          <w:rStyle w:val="s1"/>
          <w:rFonts w:ascii="Times New Roman" w:hAnsi="Times New Roman"/>
          <w:sz w:val="24"/>
          <w:szCs w:val="24"/>
          <w:lang w:val="bg-BG"/>
        </w:rPr>
        <w:t>изследването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процесите</w:t>
      </w:r>
      <w:proofErr w:type="spellEnd"/>
      <w:r w:rsidRPr="00D96BDF">
        <w:rPr>
          <w:rStyle w:val="s1"/>
          <w:rFonts w:ascii="Times New Roman" w:hAnsi="Times New Roman"/>
          <w:sz w:val="24"/>
          <w:szCs w:val="24"/>
          <w:lang w:val="bg-BG"/>
        </w:rPr>
        <w:t xml:space="preserve"> и факторите, </w:t>
      </w:r>
      <w:proofErr w:type="spellStart"/>
      <w:r w:rsidRPr="00D96BDF">
        <w:rPr>
          <w:rStyle w:val="s1"/>
          <w:rFonts w:ascii="Times New Roman" w:hAnsi="Times New Roman"/>
          <w:sz w:val="24"/>
          <w:szCs w:val="24"/>
          <w:lang w:val="bg-BG"/>
        </w:rPr>
        <w:t>които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пораждат</w:t>
      </w:r>
      <w:proofErr w:type="spellEnd"/>
      <w:r w:rsidRPr="00D96BDF">
        <w:rPr>
          <w:rStyle w:val="s1"/>
          <w:rFonts w:ascii="Times New Roman" w:hAnsi="Times New Roman"/>
          <w:sz w:val="24"/>
          <w:szCs w:val="24"/>
          <w:lang w:val="bg-BG"/>
        </w:rPr>
        <w:t xml:space="preserve"> феномена „</w:t>
      </w:r>
      <w:proofErr w:type="spellStart"/>
      <w:r w:rsidRPr="00F674F2">
        <w:rPr>
          <w:rStyle w:val="s1"/>
          <w:rFonts w:ascii="Times New Roman" w:hAnsi="Times New Roman"/>
          <w:i/>
          <w:iCs/>
          <w:sz w:val="24"/>
          <w:szCs w:val="24"/>
          <w:lang w:val="bg-BG"/>
        </w:rPr>
        <w:t>умора</w:t>
      </w:r>
      <w:proofErr w:type="spellEnd"/>
      <w:r w:rsidRPr="00F674F2">
        <w:rPr>
          <w:rStyle w:val="s1"/>
          <w:rFonts w:ascii="Times New Roman" w:hAnsi="Times New Roman"/>
          <w:i/>
          <w:iCs/>
          <w:sz w:val="24"/>
          <w:szCs w:val="24"/>
          <w:lang w:val="bg-BG"/>
        </w:rPr>
        <w:t xml:space="preserve"> </w:t>
      </w:r>
      <w:proofErr w:type="spellStart"/>
      <w:r w:rsidRPr="00F674F2">
        <w:rPr>
          <w:rStyle w:val="s1"/>
          <w:rFonts w:ascii="Times New Roman" w:hAnsi="Times New Roman"/>
          <w:i/>
          <w:iCs/>
          <w:sz w:val="24"/>
          <w:szCs w:val="24"/>
          <w:lang w:val="bg-BG"/>
        </w:rPr>
        <w:t>от</w:t>
      </w:r>
      <w:proofErr w:type="spellEnd"/>
      <w:r w:rsidRPr="00F674F2">
        <w:rPr>
          <w:rStyle w:val="s1"/>
          <w:rFonts w:ascii="Times New Roman" w:hAnsi="Times New Roman"/>
          <w:i/>
          <w:iCs/>
          <w:sz w:val="24"/>
          <w:szCs w:val="24"/>
          <w:lang w:val="bg-BG"/>
        </w:rPr>
        <w:t xml:space="preserve"> </w:t>
      </w:r>
      <w:proofErr w:type="spellStart"/>
      <w:r w:rsidRPr="00F674F2">
        <w:rPr>
          <w:rStyle w:val="s1"/>
          <w:rFonts w:ascii="Times New Roman" w:hAnsi="Times New Roman"/>
          <w:i/>
          <w:iCs/>
          <w:sz w:val="24"/>
          <w:szCs w:val="24"/>
          <w:lang w:val="bg-BG"/>
        </w:rPr>
        <w:t>разширяването</w:t>
      </w:r>
      <w:proofErr w:type="spellEnd"/>
      <w:r w:rsidRPr="00D96BDF">
        <w:rPr>
          <w:rStyle w:val="s1"/>
          <w:rFonts w:ascii="Times New Roman" w:hAnsi="Times New Roman"/>
          <w:sz w:val="24"/>
          <w:szCs w:val="24"/>
          <w:lang w:val="bg-BG"/>
        </w:rPr>
        <w:t xml:space="preserve">“, както и </w:t>
      </w:r>
      <w:proofErr w:type="spellStart"/>
      <w:r w:rsidRPr="00D96BDF">
        <w:rPr>
          <w:rStyle w:val="s1"/>
          <w:rFonts w:ascii="Times New Roman" w:hAnsi="Times New Roman"/>
          <w:sz w:val="24"/>
          <w:szCs w:val="24"/>
          <w:lang w:val="bg-BG"/>
        </w:rPr>
        <w:t>тяхното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отражение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върху</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lastRenderedPageBreak/>
        <w:t>способността</w:t>
      </w:r>
      <w:proofErr w:type="spellEnd"/>
      <w:r w:rsidRPr="00D96BDF">
        <w:rPr>
          <w:rStyle w:val="s1"/>
          <w:rFonts w:ascii="Times New Roman" w:hAnsi="Times New Roman"/>
          <w:sz w:val="24"/>
          <w:szCs w:val="24"/>
          <w:lang w:val="bg-BG"/>
        </w:rPr>
        <w:t xml:space="preserve"> на ЕС </w:t>
      </w:r>
      <w:proofErr w:type="spellStart"/>
      <w:r w:rsidRPr="00D96BDF">
        <w:rPr>
          <w:rStyle w:val="s1"/>
          <w:rFonts w:ascii="Times New Roman" w:hAnsi="Times New Roman"/>
          <w:sz w:val="24"/>
          <w:szCs w:val="24"/>
          <w:lang w:val="bg-BG"/>
        </w:rPr>
        <w:t>да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балансира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между</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разширяване</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задълбочаване</w:t>
      </w:r>
      <w:proofErr w:type="spellEnd"/>
      <w:r w:rsidRPr="00D96BDF">
        <w:rPr>
          <w:rStyle w:val="s1"/>
          <w:rFonts w:ascii="Times New Roman" w:hAnsi="Times New Roman"/>
          <w:sz w:val="24"/>
          <w:szCs w:val="24"/>
          <w:lang w:val="bg-BG"/>
        </w:rPr>
        <w:t xml:space="preserve"> на интеграцията.</w:t>
      </w:r>
      <w:r w:rsidR="00CB2925" w:rsidRPr="00532CF3">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При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разработването</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темата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използвани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методи</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сравнителен</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исторически</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аналитичен</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анализ</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чрез</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които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проследяват</w:t>
      </w:r>
      <w:proofErr w:type="spellEnd"/>
      <w:r w:rsidRPr="00D96BDF">
        <w:rPr>
          <w:rStyle w:val="s1"/>
          <w:rFonts w:ascii="Times New Roman" w:hAnsi="Times New Roman"/>
          <w:sz w:val="24"/>
          <w:szCs w:val="24"/>
          <w:lang w:val="bg-BG"/>
        </w:rPr>
        <w:t xml:space="preserve"> етапите на </w:t>
      </w:r>
      <w:proofErr w:type="spellStart"/>
      <w:r w:rsidRPr="00D96BDF">
        <w:rPr>
          <w:rStyle w:val="s1"/>
          <w:rFonts w:ascii="Times New Roman" w:hAnsi="Times New Roman"/>
          <w:sz w:val="24"/>
          <w:szCs w:val="24"/>
          <w:lang w:val="bg-BG"/>
        </w:rPr>
        <w:t>разширяване</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се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оценяват</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политическите</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институционални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реакции</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държавите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членки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Използвани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също</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дескриптивен</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метод</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за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представяне</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факти</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процеси</w:t>
      </w:r>
      <w:proofErr w:type="spellEnd"/>
      <w:r w:rsidRPr="00D96BDF">
        <w:rPr>
          <w:rStyle w:val="s1"/>
          <w:rFonts w:ascii="Times New Roman" w:hAnsi="Times New Roman"/>
          <w:sz w:val="24"/>
          <w:szCs w:val="24"/>
          <w:lang w:val="bg-BG"/>
        </w:rPr>
        <w:t xml:space="preserve">, както и каузален </w:t>
      </w:r>
      <w:proofErr w:type="spellStart"/>
      <w:r w:rsidRPr="00D96BDF">
        <w:rPr>
          <w:rStyle w:val="s1"/>
          <w:rFonts w:ascii="Times New Roman" w:hAnsi="Times New Roman"/>
          <w:sz w:val="24"/>
          <w:szCs w:val="24"/>
          <w:lang w:val="bg-BG"/>
        </w:rPr>
        <w:t>анализ</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за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откриване</w:t>
      </w:r>
      <w:proofErr w:type="spellEnd"/>
      <w:r w:rsidRPr="00D96BDF">
        <w:rPr>
          <w:rStyle w:val="s1"/>
          <w:rFonts w:ascii="Times New Roman" w:hAnsi="Times New Roman"/>
          <w:sz w:val="24"/>
          <w:szCs w:val="24"/>
          <w:lang w:val="bg-BG"/>
        </w:rPr>
        <w:t xml:space="preserve"> на взаимовръзките </w:t>
      </w:r>
      <w:proofErr w:type="spellStart"/>
      <w:r w:rsidRPr="00D96BDF">
        <w:rPr>
          <w:rStyle w:val="s1"/>
          <w:rFonts w:ascii="Times New Roman" w:hAnsi="Times New Roman"/>
          <w:sz w:val="24"/>
          <w:szCs w:val="24"/>
          <w:lang w:val="bg-BG"/>
        </w:rPr>
        <w:t>между</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обществените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нагласи</w:t>
      </w:r>
      <w:proofErr w:type="spellEnd"/>
      <w:r w:rsidRPr="00D96BDF">
        <w:rPr>
          <w:rStyle w:val="s1"/>
          <w:rFonts w:ascii="Times New Roman" w:hAnsi="Times New Roman"/>
          <w:sz w:val="24"/>
          <w:szCs w:val="24"/>
          <w:lang w:val="bg-BG"/>
        </w:rPr>
        <w:t xml:space="preserve">, институционалната </w:t>
      </w:r>
      <w:proofErr w:type="spellStart"/>
      <w:r w:rsidRPr="00D96BDF">
        <w:rPr>
          <w:rStyle w:val="s1"/>
          <w:rFonts w:ascii="Times New Roman" w:hAnsi="Times New Roman"/>
          <w:sz w:val="24"/>
          <w:szCs w:val="24"/>
          <w:lang w:val="bg-BG"/>
        </w:rPr>
        <w:t>динамика</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стратегическите</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приоритети</w:t>
      </w:r>
      <w:proofErr w:type="spellEnd"/>
      <w:r w:rsidRPr="00D96BDF">
        <w:rPr>
          <w:rStyle w:val="s1"/>
          <w:rFonts w:ascii="Times New Roman" w:hAnsi="Times New Roman"/>
          <w:sz w:val="24"/>
          <w:szCs w:val="24"/>
          <w:lang w:val="bg-BG"/>
        </w:rPr>
        <w:t xml:space="preserve"> на ЕС. </w:t>
      </w:r>
      <w:proofErr w:type="spellStart"/>
      <w:r w:rsidR="0056376C">
        <w:rPr>
          <w:rStyle w:val="s1"/>
          <w:rFonts w:ascii="Times New Roman" w:hAnsi="Times New Roman"/>
          <w:sz w:val="24"/>
          <w:szCs w:val="24"/>
          <w:lang w:val="bg-BG"/>
        </w:rPr>
        <w:t>Б</w:t>
      </w:r>
      <w:r w:rsidRPr="00D96BDF">
        <w:rPr>
          <w:rStyle w:val="s1"/>
          <w:rFonts w:ascii="Times New Roman" w:hAnsi="Times New Roman"/>
          <w:sz w:val="24"/>
          <w:szCs w:val="24"/>
          <w:lang w:val="bg-BG"/>
        </w:rPr>
        <w:t>аза</w:t>
      </w:r>
      <w:r w:rsidR="0056376C">
        <w:rPr>
          <w:rStyle w:val="s1"/>
          <w:rFonts w:ascii="Times New Roman" w:hAnsi="Times New Roman"/>
          <w:sz w:val="24"/>
          <w:szCs w:val="24"/>
          <w:lang w:val="bg-BG"/>
        </w:rPr>
        <w:t>та</w:t>
      </w:r>
      <w:proofErr w:type="spellEnd"/>
      <w:r w:rsidR="0056376C">
        <w:rPr>
          <w:rStyle w:val="s1"/>
          <w:rFonts w:ascii="Times New Roman" w:hAnsi="Times New Roman"/>
          <w:sz w:val="24"/>
          <w:szCs w:val="24"/>
          <w:lang w:val="bg-BG"/>
        </w:rPr>
        <w:t xml:space="preserve"> </w:t>
      </w:r>
      <w:proofErr w:type="spellStart"/>
      <w:r w:rsidR="0056376C">
        <w:rPr>
          <w:rStyle w:val="s1"/>
          <w:rFonts w:ascii="Times New Roman" w:hAnsi="Times New Roman"/>
          <w:sz w:val="24"/>
          <w:szCs w:val="24"/>
          <w:lang w:val="bg-BG"/>
        </w:rPr>
        <w:t>от</w:t>
      </w:r>
      <w:proofErr w:type="spellEnd"/>
      <w:r w:rsidR="0056376C">
        <w:rPr>
          <w:rStyle w:val="s1"/>
          <w:rFonts w:ascii="Times New Roman" w:hAnsi="Times New Roman"/>
          <w:sz w:val="24"/>
          <w:szCs w:val="24"/>
          <w:lang w:val="bg-BG"/>
        </w:rPr>
        <w:t xml:space="preserve"> </w:t>
      </w:r>
      <w:proofErr w:type="spellStart"/>
      <w:r w:rsidR="0056376C">
        <w:rPr>
          <w:rStyle w:val="s1"/>
          <w:rFonts w:ascii="Times New Roman" w:hAnsi="Times New Roman"/>
          <w:sz w:val="24"/>
          <w:szCs w:val="24"/>
          <w:lang w:val="bg-BG"/>
        </w:rPr>
        <w:t>източници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включва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официални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документи</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стратегии</w:t>
      </w:r>
      <w:proofErr w:type="spellEnd"/>
      <w:r w:rsidRPr="00D96BDF">
        <w:rPr>
          <w:rStyle w:val="s1"/>
          <w:rFonts w:ascii="Times New Roman" w:hAnsi="Times New Roman"/>
          <w:sz w:val="24"/>
          <w:szCs w:val="24"/>
          <w:lang w:val="bg-BG"/>
        </w:rPr>
        <w:t xml:space="preserve"> на </w:t>
      </w:r>
      <w:proofErr w:type="spellStart"/>
      <w:r w:rsidRPr="00D96BDF">
        <w:rPr>
          <w:rStyle w:val="s1"/>
          <w:rFonts w:ascii="Times New Roman" w:hAnsi="Times New Roman"/>
          <w:sz w:val="24"/>
          <w:szCs w:val="24"/>
          <w:lang w:val="bg-BG"/>
        </w:rPr>
        <w:t>Европейската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комисия</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научна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литература</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статистически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данни</w:t>
      </w:r>
      <w:proofErr w:type="spellEnd"/>
      <w:r w:rsidRPr="00D96BDF">
        <w:rPr>
          <w:rStyle w:val="s1"/>
          <w:rFonts w:ascii="Times New Roman" w:hAnsi="Times New Roman"/>
          <w:sz w:val="24"/>
          <w:szCs w:val="24"/>
          <w:lang w:val="bg-BG"/>
        </w:rPr>
        <w:t xml:space="preserve">, както и </w:t>
      </w:r>
      <w:proofErr w:type="spellStart"/>
      <w:r w:rsidRPr="00D96BDF">
        <w:rPr>
          <w:rStyle w:val="s1"/>
          <w:rFonts w:ascii="Times New Roman" w:hAnsi="Times New Roman"/>
          <w:sz w:val="24"/>
          <w:szCs w:val="24"/>
          <w:lang w:val="bg-BG"/>
        </w:rPr>
        <w:t>анализи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от</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водещи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европейски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изследователски</w:t>
      </w:r>
      <w:proofErr w:type="spellEnd"/>
      <w:r w:rsidRPr="00D96BDF">
        <w:rPr>
          <w:rStyle w:val="s1"/>
          <w:rFonts w:ascii="Times New Roman" w:hAnsi="Times New Roman"/>
          <w:sz w:val="24"/>
          <w:szCs w:val="24"/>
          <w:lang w:val="bg-BG"/>
        </w:rPr>
        <w:t xml:space="preserve"> </w:t>
      </w:r>
      <w:proofErr w:type="spellStart"/>
      <w:r w:rsidRPr="00D96BDF">
        <w:rPr>
          <w:rStyle w:val="s1"/>
          <w:rFonts w:ascii="Times New Roman" w:hAnsi="Times New Roman"/>
          <w:sz w:val="24"/>
          <w:szCs w:val="24"/>
          <w:lang w:val="bg-BG"/>
        </w:rPr>
        <w:t>центрове</w:t>
      </w:r>
      <w:proofErr w:type="spellEnd"/>
      <w:r w:rsidRPr="00D96BDF">
        <w:rPr>
          <w:rStyle w:val="s1"/>
          <w:rFonts w:ascii="Times New Roman" w:hAnsi="Times New Roman"/>
          <w:sz w:val="24"/>
          <w:szCs w:val="24"/>
          <w:lang w:val="bg-BG"/>
        </w:rPr>
        <w:t xml:space="preserve"> и </w:t>
      </w:r>
      <w:proofErr w:type="spellStart"/>
      <w:r w:rsidRPr="00D96BDF">
        <w:rPr>
          <w:rStyle w:val="s1"/>
          <w:rFonts w:ascii="Times New Roman" w:hAnsi="Times New Roman"/>
          <w:sz w:val="24"/>
          <w:szCs w:val="24"/>
          <w:lang w:val="bg-BG"/>
        </w:rPr>
        <w:t>медии</w:t>
      </w:r>
      <w:proofErr w:type="spellEnd"/>
      <w:r w:rsidRPr="00D96BDF">
        <w:rPr>
          <w:rStyle w:val="s1"/>
          <w:rFonts w:ascii="Times New Roman" w:hAnsi="Times New Roman"/>
          <w:sz w:val="24"/>
          <w:szCs w:val="24"/>
          <w:lang w:val="bg-BG"/>
        </w:rPr>
        <w:t>.</w:t>
      </w:r>
    </w:p>
    <w:p w14:paraId="0D9A9615" w14:textId="77777777" w:rsidR="004622A0" w:rsidRPr="00610CCA" w:rsidRDefault="00AA09DA" w:rsidP="001F47B2">
      <w:pPr>
        <w:pStyle w:val="ListParagraph"/>
        <w:numPr>
          <w:ilvl w:val="0"/>
          <w:numId w:val="4"/>
        </w:numPr>
        <w:spacing w:before="240" w:line="360" w:lineRule="auto"/>
        <w:ind w:firstLine="0"/>
        <w:jc w:val="both"/>
        <w:rPr>
          <w:rFonts w:ascii="Times New Roman" w:hAnsi="Times New Roman" w:cs="Times New Roman"/>
          <w:b/>
          <w:bCs/>
          <w:sz w:val="28"/>
          <w:szCs w:val="28"/>
        </w:rPr>
      </w:pPr>
      <w:bookmarkStart w:id="1" w:name="two"/>
      <w:proofErr w:type="spellStart"/>
      <w:r w:rsidRPr="00AA09DA">
        <w:rPr>
          <w:rFonts w:ascii="Times New Roman" w:hAnsi="Times New Roman" w:cs="Times New Roman"/>
          <w:b/>
          <w:bCs/>
          <w:sz w:val="28"/>
          <w:szCs w:val="28"/>
        </w:rPr>
        <w:t>Политика</w:t>
      </w:r>
      <w:proofErr w:type="spellEnd"/>
      <w:r w:rsidRPr="00AA09DA">
        <w:rPr>
          <w:rFonts w:ascii="Times New Roman" w:hAnsi="Times New Roman" w:cs="Times New Roman"/>
          <w:b/>
          <w:bCs/>
          <w:sz w:val="28"/>
          <w:szCs w:val="28"/>
        </w:rPr>
        <w:t xml:space="preserve"> на </w:t>
      </w:r>
      <w:proofErr w:type="spellStart"/>
      <w:r w:rsidRPr="00AA09DA">
        <w:rPr>
          <w:rFonts w:ascii="Times New Roman" w:hAnsi="Times New Roman" w:cs="Times New Roman"/>
          <w:b/>
          <w:bCs/>
          <w:sz w:val="28"/>
          <w:szCs w:val="28"/>
        </w:rPr>
        <w:t>разширяване</w:t>
      </w:r>
      <w:proofErr w:type="spellEnd"/>
      <w:r w:rsidRPr="00AA09DA">
        <w:rPr>
          <w:rFonts w:ascii="Times New Roman" w:hAnsi="Times New Roman" w:cs="Times New Roman"/>
          <w:b/>
          <w:bCs/>
          <w:sz w:val="28"/>
          <w:szCs w:val="28"/>
        </w:rPr>
        <w:t xml:space="preserve"> на ЕС </w:t>
      </w:r>
      <w:r w:rsidR="003C1399">
        <w:rPr>
          <w:rFonts w:ascii="Times New Roman" w:hAnsi="Times New Roman" w:cs="Times New Roman"/>
          <w:b/>
          <w:bCs/>
          <w:sz w:val="28"/>
          <w:szCs w:val="28"/>
        </w:rPr>
        <w:t>-</w:t>
      </w:r>
      <w:r w:rsidRPr="00AA09DA">
        <w:rPr>
          <w:rFonts w:ascii="Times New Roman" w:hAnsi="Times New Roman" w:cs="Times New Roman"/>
          <w:b/>
          <w:bCs/>
          <w:sz w:val="28"/>
          <w:szCs w:val="28"/>
        </w:rPr>
        <w:t xml:space="preserve"> </w:t>
      </w:r>
      <w:proofErr w:type="spellStart"/>
      <w:r w:rsidRPr="00AA09DA">
        <w:rPr>
          <w:rFonts w:ascii="Times New Roman" w:hAnsi="Times New Roman" w:cs="Times New Roman"/>
          <w:b/>
          <w:bCs/>
          <w:sz w:val="28"/>
          <w:szCs w:val="28"/>
        </w:rPr>
        <w:t>историческо</w:t>
      </w:r>
      <w:proofErr w:type="spellEnd"/>
      <w:r w:rsidRPr="00AA09DA">
        <w:rPr>
          <w:rFonts w:ascii="Times New Roman" w:hAnsi="Times New Roman" w:cs="Times New Roman"/>
          <w:b/>
          <w:bCs/>
          <w:sz w:val="28"/>
          <w:szCs w:val="28"/>
        </w:rPr>
        <w:t xml:space="preserve"> и </w:t>
      </w:r>
      <w:proofErr w:type="spellStart"/>
      <w:r w:rsidRPr="00AA09DA">
        <w:rPr>
          <w:rFonts w:ascii="Times New Roman" w:hAnsi="Times New Roman" w:cs="Times New Roman"/>
          <w:b/>
          <w:bCs/>
          <w:sz w:val="28"/>
          <w:szCs w:val="28"/>
        </w:rPr>
        <w:t>институционално</w:t>
      </w:r>
      <w:proofErr w:type="spellEnd"/>
      <w:r w:rsidRPr="00AA09DA">
        <w:rPr>
          <w:rFonts w:ascii="Times New Roman" w:hAnsi="Times New Roman" w:cs="Times New Roman"/>
          <w:b/>
          <w:bCs/>
          <w:sz w:val="28"/>
          <w:szCs w:val="28"/>
        </w:rPr>
        <w:t xml:space="preserve"> </w:t>
      </w:r>
      <w:proofErr w:type="spellStart"/>
      <w:r w:rsidRPr="00AA09DA">
        <w:rPr>
          <w:rFonts w:ascii="Times New Roman" w:hAnsi="Times New Roman" w:cs="Times New Roman"/>
          <w:b/>
          <w:bCs/>
          <w:sz w:val="28"/>
          <w:szCs w:val="28"/>
        </w:rPr>
        <w:t>развитие</w:t>
      </w:r>
      <w:proofErr w:type="spellEnd"/>
    </w:p>
    <w:p w14:paraId="7E7C6676" w14:textId="77777777" w:rsidR="003C1399" w:rsidRPr="00FC6C3F" w:rsidRDefault="00FC6C3F" w:rsidP="001F47B2">
      <w:pPr>
        <w:pStyle w:val="ListParagraph"/>
        <w:numPr>
          <w:ilvl w:val="1"/>
          <w:numId w:val="4"/>
        </w:numPr>
        <w:spacing w:after="0" w:line="360" w:lineRule="auto"/>
        <w:jc w:val="both"/>
        <w:divId w:val="757405240"/>
        <w:rPr>
          <w:rFonts w:ascii="Times New Roman" w:hAnsi="Times New Roman" w:cs="Times New Roman"/>
          <w:i/>
          <w:iCs/>
          <w:sz w:val="24"/>
          <w:szCs w:val="24"/>
          <w:u w:val="single"/>
        </w:rPr>
      </w:pPr>
      <w:bookmarkStart w:id="2" w:name="two_one"/>
      <w:bookmarkEnd w:id="1"/>
      <w:r w:rsidRPr="00FC6C3F">
        <w:rPr>
          <w:rFonts w:ascii="Times New Roman" w:hAnsi="Times New Roman" w:cs="Times New Roman"/>
          <w:i/>
          <w:iCs/>
          <w:sz w:val="24"/>
          <w:szCs w:val="24"/>
          <w:u w:val="single"/>
        </w:rPr>
        <w:t xml:space="preserve"> </w:t>
      </w:r>
      <w:proofErr w:type="spellStart"/>
      <w:r w:rsidR="003C1399" w:rsidRPr="00FC6C3F">
        <w:rPr>
          <w:rFonts w:ascii="Times New Roman" w:hAnsi="Times New Roman" w:cs="Times New Roman"/>
          <w:i/>
          <w:iCs/>
          <w:sz w:val="24"/>
          <w:szCs w:val="24"/>
          <w:u w:val="single"/>
        </w:rPr>
        <w:t>Етапи</w:t>
      </w:r>
      <w:proofErr w:type="spellEnd"/>
      <w:r w:rsidR="003C1399" w:rsidRPr="00FC6C3F">
        <w:rPr>
          <w:rFonts w:ascii="Times New Roman" w:hAnsi="Times New Roman" w:cs="Times New Roman"/>
          <w:i/>
          <w:iCs/>
          <w:sz w:val="24"/>
          <w:szCs w:val="24"/>
          <w:u w:val="single"/>
        </w:rPr>
        <w:t xml:space="preserve"> на </w:t>
      </w:r>
      <w:proofErr w:type="spellStart"/>
      <w:r w:rsidR="003C1399" w:rsidRPr="00FC6C3F">
        <w:rPr>
          <w:rFonts w:ascii="Times New Roman" w:hAnsi="Times New Roman" w:cs="Times New Roman"/>
          <w:i/>
          <w:iCs/>
          <w:sz w:val="24"/>
          <w:szCs w:val="24"/>
          <w:u w:val="single"/>
        </w:rPr>
        <w:t>разширяването</w:t>
      </w:r>
      <w:proofErr w:type="spellEnd"/>
    </w:p>
    <w:bookmarkEnd w:id="2"/>
    <w:p w14:paraId="0573BDF9" w14:textId="77777777" w:rsidR="003C1399" w:rsidRPr="003C1399" w:rsidRDefault="003C1399" w:rsidP="001F47B2">
      <w:pPr>
        <w:spacing w:after="0" w:line="360" w:lineRule="auto"/>
        <w:jc w:val="both"/>
        <w:divId w:val="757405240"/>
        <w:rPr>
          <w:rFonts w:ascii="Times New Roman" w:hAnsi="Times New Roman" w:cs="Times New Roman"/>
          <w:sz w:val="24"/>
          <w:szCs w:val="24"/>
        </w:rPr>
      </w:pPr>
      <w:proofErr w:type="spellStart"/>
      <w:r w:rsidRPr="003C1399">
        <w:rPr>
          <w:rFonts w:ascii="Times New Roman" w:hAnsi="Times New Roman" w:cs="Times New Roman"/>
          <w:sz w:val="24"/>
          <w:szCs w:val="24"/>
        </w:rPr>
        <w:t>Политиката</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разширяване</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Европейския</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съюз</w:t>
      </w:r>
      <w:proofErr w:type="spellEnd"/>
      <w:r w:rsidRPr="003C1399">
        <w:rPr>
          <w:rFonts w:ascii="Times New Roman" w:hAnsi="Times New Roman" w:cs="Times New Roman"/>
          <w:sz w:val="24"/>
          <w:szCs w:val="24"/>
        </w:rPr>
        <w:t xml:space="preserve"> (ЕС) </w:t>
      </w:r>
      <w:proofErr w:type="spellStart"/>
      <w:r w:rsidRPr="003C1399">
        <w:rPr>
          <w:rFonts w:ascii="Times New Roman" w:hAnsi="Times New Roman" w:cs="Times New Roman"/>
          <w:sz w:val="24"/>
          <w:szCs w:val="24"/>
        </w:rPr>
        <w:t>представлява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един</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от</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най-важните</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процеси</w:t>
      </w:r>
      <w:proofErr w:type="spellEnd"/>
      <w:r w:rsidRPr="003C1399">
        <w:rPr>
          <w:rFonts w:ascii="Times New Roman" w:hAnsi="Times New Roman" w:cs="Times New Roman"/>
          <w:sz w:val="24"/>
          <w:szCs w:val="24"/>
        </w:rPr>
        <w:t xml:space="preserve"> в </w:t>
      </w:r>
      <w:proofErr w:type="spellStart"/>
      <w:r w:rsidRPr="003C1399">
        <w:rPr>
          <w:rFonts w:ascii="Times New Roman" w:hAnsi="Times New Roman" w:cs="Times New Roman"/>
          <w:sz w:val="24"/>
          <w:szCs w:val="24"/>
        </w:rPr>
        <w:t>историята</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европейската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интеграция</w:t>
      </w:r>
      <w:proofErr w:type="spellEnd"/>
      <w:r w:rsidRPr="003C1399">
        <w:rPr>
          <w:rFonts w:ascii="Times New Roman" w:hAnsi="Times New Roman" w:cs="Times New Roman"/>
          <w:sz w:val="24"/>
          <w:szCs w:val="24"/>
        </w:rPr>
        <w:t xml:space="preserve">. Тя е </w:t>
      </w:r>
      <w:proofErr w:type="spellStart"/>
      <w:r w:rsidRPr="003C1399">
        <w:rPr>
          <w:rFonts w:ascii="Times New Roman" w:hAnsi="Times New Roman" w:cs="Times New Roman"/>
          <w:sz w:val="24"/>
          <w:szCs w:val="24"/>
        </w:rPr>
        <w:t>неразривно</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свързана</w:t>
      </w:r>
      <w:proofErr w:type="spellEnd"/>
      <w:r w:rsidRPr="003C1399">
        <w:rPr>
          <w:rFonts w:ascii="Times New Roman" w:hAnsi="Times New Roman" w:cs="Times New Roman"/>
          <w:sz w:val="24"/>
          <w:szCs w:val="24"/>
        </w:rPr>
        <w:t xml:space="preserve"> с </w:t>
      </w:r>
      <w:proofErr w:type="spellStart"/>
      <w:r w:rsidRPr="003C1399">
        <w:rPr>
          <w:rFonts w:ascii="Times New Roman" w:hAnsi="Times New Roman" w:cs="Times New Roman"/>
          <w:sz w:val="24"/>
          <w:szCs w:val="24"/>
        </w:rPr>
        <w:t>основната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идея</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за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изграждане</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обединена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стабилна</w:t>
      </w:r>
      <w:proofErr w:type="spellEnd"/>
      <w:r w:rsidRPr="003C1399">
        <w:rPr>
          <w:rFonts w:ascii="Times New Roman" w:hAnsi="Times New Roman" w:cs="Times New Roman"/>
          <w:sz w:val="24"/>
          <w:szCs w:val="24"/>
        </w:rPr>
        <w:t xml:space="preserve"> и </w:t>
      </w:r>
      <w:proofErr w:type="spellStart"/>
      <w:r w:rsidRPr="003C1399">
        <w:rPr>
          <w:rFonts w:ascii="Times New Roman" w:hAnsi="Times New Roman" w:cs="Times New Roman"/>
          <w:sz w:val="24"/>
          <w:szCs w:val="24"/>
        </w:rPr>
        <w:t>просперираща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Европа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основана</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споделени</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ценности</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като</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демокрация</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върховенство</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правото</w:t>
      </w:r>
      <w:proofErr w:type="spellEnd"/>
      <w:r w:rsidRPr="003C1399">
        <w:rPr>
          <w:rFonts w:ascii="Times New Roman" w:hAnsi="Times New Roman" w:cs="Times New Roman"/>
          <w:sz w:val="24"/>
          <w:szCs w:val="24"/>
        </w:rPr>
        <w:t xml:space="preserve"> и </w:t>
      </w:r>
      <w:proofErr w:type="spellStart"/>
      <w:r w:rsidRPr="003C1399">
        <w:rPr>
          <w:rFonts w:ascii="Times New Roman" w:hAnsi="Times New Roman" w:cs="Times New Roman"/>
          <w:sz w:val="24"/>
          <w:szCs w:val="24"/>
        </w:rPr>
        <w:t>пазарна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икономика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Разширяването</w:t>
      </w:r>
      <w:proofErr w:type="spellEnd"/>
      <w:r w:rsidRPr="003C1399">
        <w:rPr>
          <w:rFonts w:ascii="Times New Roman" w:hAnsi="Times New Roman" w:cs="Times New Roman"/>
          <w:sz w:val="24"/>
          <w:szCs w:val="24"/>
        </w:rPr>
        <w:t xml:space="preserve"> е </w:t>
      </w:r>
      <w:proofErr w:type="spellStart"/>
      <w:r w:rsidRPr="003C1399">
        <w:rPr>
          <w:rFonts w:ascii="Times New Roman" w:hAnsi="Times New Roman" w:cs="Times New Roman"/>
          <w:sz w:val="24"/>
          <w:szCs w:val="24"/>
        </w:rPr>
        <w:t>едновременно</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инструмент</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външната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политика</w:t>
      </w:r>
      <w:proofErr w:type="spellEnd"/>
      <w:r w:rsidRPr="003C1399">
        <w:rPr>
          <w:rFonts w:ascii="Times New Roman" w:hAnsi="Times New Roman" w:cs="Times New Roman"/>
          <w:sz w:val="24"/>
          <w:szCs w:val="24"/>
        </w:rPr>
        <w:t xml:space="preserve"> и </w:t>
      </w:r>
      <w:proofErr w:type="spellStart"/>
      <w:r w:rsidRPr="003C1399">
        <w:rPr>
          <w:rFonts w:ascii="Times New Roman" w:hAnsi="Times New Roman" w:cs="Times New Roman"/>
          <w:sz w:val="24"/>
          <w:szCs w:val="24"/>
        </w:rPr>
        <w:t>механизъм</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за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вътрешно</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укрепване</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Съюза</w:t>
      </w:r>
      <w:proofErr w:type="spellEnd"/>
      <w:r w:rsidRPr="003C1399">
        <w:rPr>
          <w:rFonts w:ascii="Times New Roman" w:hAnsi="Times New Roman" w:cs="Times New Roman"/>
          <w:sz w:val="24"/>
          <w:szCs w:val="24"/>
        </w:rPr>
        <w:t>.</w:t>
      </w:r>
    </w:p>
    <w:p w14:paraId="444BABBC" w14:textId="77777777" w:rsidR="003C1399" w:rsidRPr="003C1399" w:rsidRDefault="003C1399" w:rsidP="001F47B2">
      <w:pPr>
        <w:spacing w:after="0" w:line="360" w:lineRule="auto"/>
        <w:jc w:val="both"/>
        <w:divId w:val="757405240"/>
        <w:rPr>
          <w:rFonts w:ascii="Times New Roman" w:hAnsi="Times New Roman" w:cs="Times New Roman"/>
          <w:sz w:val="24"/>
          <w:szCs w:val="24"/>
        </w:rPr>
      </w:pPr>
      <w:proofErr w:type="spellStart"/>
      <w:r w:rsidRPr="003C1399">
        <w:rPr>
          <w:rFonts w:ascii="Times New Roman" w:hAnsi="Times New Roman" w:cs="Times New Roman"/>
          <w:sz w:val="24"/>
          <w:szCs w:val="24"/>
        </w:rPr>
        <w:t>Първите</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стъпки</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европейската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интеграция</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направени</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през</w:t>
      </w:r>
      <w:proofErr w:type="spellEnd"/>
      <w:r w:rsidRPr="003C1399">
        <w:rPr>
          <w:rFonts w:ascii="Times New Roman" w:hAnsi="Times New Roman" w:cs="Times New Roman"/>
          <w:sz w:val="24"/>
          <w:szCs w:val="24"/>
        </w:rPr>
        <w:t xml:space="preserve"> 1951 г. с подписването на </w:t>
      </w:r>
      <w:proofErr w:type="spellStart"/>
      <w:r w:rsidRPr="003C1399">
        <w:rPr>
          <w:rFonts w:ascii="Times New Roman" w:hAnsi="Times New Roman" w:cs="Times New Roman"/>
          <w:sz w:val="24"/>
          <w:szCs w:val="24"/>
        </w:rPr>
        <w:t>Договора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за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създаване</w:t>
      </w:r>
      <w:proofErr w:type="spellEnd"/>
      <w:r w:rsidRPr="003C1399">
        <w:rPr>
          <w:rFonts w:ascii="Times New Roman" w:hAnsi="Times New Roman" w:cs="Times New Roman"/>
          <w:sz w:val="24"/>
          <w:szCs w:val="24"/>
        </w:rPr>
        <w:t xml:space="preserve"> на </w:t>
      </w:r>
      <w:proofErr w:type="spellStart"/>
      <w:r w:rsidRPr="003C1399">
        <w:rPr>
          <w:rFonts w:ascii="Times New Roman" w:hAnsi="Times New Roman" w:cs="Times New Roman"/>
          <w:sz w:val="24"/>
          <w:szCs w:val="24"/>
        </w:rPr>
        <w:t>Европейската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общност</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за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въглища</w:t>
      </w:r>
      <w:proofErr w:type="spellEnd"/>
      <w:r w:rsidRPr="003C1399">
        <w:rPr>
          <w:rFonts w:ascii="Times New Roman" w:hAnsi="Times New Roman" w:cs="Times New Roman"/>
          <w:sz w:val="24"/>
          <w:szCs w:val="24"/>
        </w:rPr>
        <w:t xml:space="preserve"> и </w:t>
      </w:r>
      <w:proofErr w:type="spellStart"/>
      <w:r w:rsidRPr="003C1399">
        <w:rPr>
          <w:rFonts w:ascii="Times New Roman" w:hAnsi="Times New Roman" w:cs="Times New Roman"/>
          <w:sz w:val="24"/>
          <w:szCs w:val="24"/>
        </w:rPr>
        <w:t>стомана</w:t>
      </w:r>
      <w:proofErr w:type="spellEnd"/>
      <w:r w:rsidRPr="003C1399">
        <w:rPr>
          <w:rFonts w:ascii="Times New Roman" w:hAnsi="Times New Roman" w:cs="Times New Roman"/>
          <w:sz w:val="24"/>
          <w:szCs w:val="24"/>
        </w:rPr>
        <w:t xml:space="preserve"> (ЕОВС), а </w:t>
      </w:r>
      <w:proofErr w:type="spellStart"/>
      <w:r w:rsidRPr="003C1399">
        <w:rPr>
          <w:rFonts w:ascii="Times New Roman" w:hAnsi="Times New Roman" w:cs="Times New Roman"/>
          <w:sz w:val="24"/>
          <w:szCs w:val="24"/>
        </w:rPr>
        <w:t>през</w:t>
      </w:r>
      <w:proofErr w:type="spellEnd"/>
      <w:r w:rsidRPr="003C1399">
        <w:rPr>
          <w:rFonts w:ascii="Times New Roman" w:hAnsi="Times New Roman" w:cs="Times New Roman"/>
          <w:sz w:val="24"/>
          <w:szCs w:val="24"/>
        </w:rPr>
        <w:t xml:space="preserve"> 1957 г. с </w:t>
      </w:r>
      <w:proofErr w:type="spellStart"/>
      <w:r w:rsidRPr="003C1399">
        <w:rPr>
          <w:rFonts w:ascii="Times New Roman" w:hAnsi="Times New Roman" w:cs="Times New Roman"/>
          <w:sz w:val="24"/>
          <w:szCs w:val="24"/>
        </w:rPr>
        <w:t>Договора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от</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Рим</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се</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създава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Европейската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икономическа</w:t>
      </w:r>
      <w:proofErr w:type="spellEnd"/>
      <w:r w:rsidRPr="003C1399">
        <w:rPr>
          <w:rFonts w:ascii="Times New Roman" w:hAnsi="Times New Roman" w:cs="Times New Roman"/>
          <w:sz w:val="24"/>
          <w:szCs w:val="24"/>
        </w:rPr>
        <w:t xml:space="preserve"> </w:t>
      </w:r>
      <w:proofErr w:type="spellStart"/>
      <w:r w:rsidRPr="003C1399">
        <w:rPr>
          <w:rFonts w:ascii="Times New Roman" w:hAnsi="Times New Roman" w:cs="Times New Roman"/>
          <w:sz w:val="24"/>
          <w:szCs w:val="24"/>
        </w:rPr>
        <w:t>общност</w:t>
      </w:r>
      <w:proofErr w:type="spellEnd"/>
      <w:r w:rsidRPr="003C1399">
        <w:rPr>
          <w:rFonts w:ascii="Times New Roman" w:hAnsi="Times New Roman" w:cs="Times New Roman"/>
          <w:sz w:val="24"/>
          <w:szCs w:val="24"/>
        </w:rPr>
        <w:t xml:space="preserve"> (ЕИО). </w:t>
      </w:r>
      <w:proofErr w:type="spellStart"/>
      <w:r w:rsidRPr="003C1399">
        <w:rPr>
          <w:rFonts w:ascii="Times New Roman" w:hAnsi="Times New Roman" w:cs="Times New Roman"/>
          <w:sz w:val="24"/>
          <w:szCs w:val="24"/>
        </w:rPr>
        <w:t>Първоначално</w:t>
      </w:r>
      <w:proofErr w:type="spellEnd"/>
      <w:r w:rsidRPr="003C1399">
        <w:rPr>
          <w:rFonts w:ascii="Times New Roman" w:hAnsi="Times New Roman" w:cs="Times New Roman"/>
          <w:sz w:val="24"/>
          <w:szCs w:val="24"/>
        </w:rPr>
        <w:t xml:space="preserve"> в </w:t>
      </w:r>
      <w:proofErr w:type="spellStart"/>
      <w:r w:rsidRPr="003C1399">
        <w:rPr>
          <w:rFonts w:ascii="Times New Roman" w:hAnsi="Times New Roman" w:cs="Times New Roman"/>
          <w:sz w:val="24"/>
          <w:szCs w:val="24"/>
        </w:rPr>
        <w:t>нея</w:t>
      </w:r>
      <w:proofErr w:type="spellEnd"/>
      <w:r w:rsidRPr="003C1399">
        <w:rPr>
          <w:rFonts w:ascii="Times New Roman" w:hAnsi="Times New Roman" w:cs="Times New Roman"/>
          <w:sz w:val="24"/>
          <w:szCs w:val="24"/>
        </w:rPr>
        <w:t xml:space="preserve"> участват шест държави </w:t>
      </w:r>
      <w:r w:rsidR="00607EB7">
        <w:rPr>
          <w:rFonts w:ascii="Times New Roman" w:hAnsi="Times New Roman" w:cs="Times New Roman"/>
          <w:sz w:val="24"/>
          <w:szCs w:val="24"/>
        </w:rPr>
        <w:t>-</w:t>
      </w:r>
      <w:r w:rsidRPr="003C1399">
        <w:rPr>
          <w:rFonts w:ascii="Times New Roman" w:hAnsi="Times New Roman" w:cs="Times New Roman"/>
          <w:sz w:val="24"/>
          <w:szCs w:val="24"/>
        </w:rPr>
        <w:t xml:space="preserve"> Белгия, Германия, Франция, Италия, Люксембург и Нидерландия.</w:t>
      </w:r>
    </w:p>
    <w:p w14:paraId="26082091"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През 1973 г. настъпва първото разширяване, когато към Общността се присъединяват Великобритания, Ирландия и Дания. Това поставя началото на серия от вълни на разширяване, които превръщат ЕО, а по-късно и ЕС, в континентален съюз.</w:t>
      </w:r>
      <w:r w:rsidR="00FC6C3F">
        <w:rPr>
          <w:rFonts w:ascii="Times New Roman" w:hAnsi="Times New Roman" w:cs="Times New Roman"/>
          <w:sz w:val="24"/>
          <w:szCs w:val="24"/>
        </w:rPr>
        <w:t xml:space="preserve"> </w:t>
      </w:r>
      <w:r w:rsidRPr="003C1399">
        <w:rPr>
          <w:rFonts w:ascii="Times New Roman" w:hAnsi="Times New Roman" w:cs="Times New Roman"/>
          <w:sz w:val="24"/>
          <w:szCs w:val="24"/>
        </w:rPr>
        <w:t xml:space="preserve">Второто разширяване през 1981 г. включва Гърция, а третото през 1986 г. </w:t>
      </w:r>
      <w:r w:rsidR="00607EB7">
        <w:rPr>
          <w:rFonts w:ascii="Times New Roman" w:hAnsi="Times New Roman" w:cs="Times New Roman"/>
          <w:sz w:val="24"/>
          <w:szCs w:val="24"/>
        </w:rPr>
        <w:t>-</w:t>
      </w:r>
      <w:r w:rsidRPr="003C1399">
        <w:rPr>
          <w:rFonts w:ascii="Times New Roman" w:hAnsi="Times New Roman" w:cs="Times New Roman"/>
          <w:sz w:val="24"/>
          <w:szCs w:val="24"/>
        </w:rPr>
        <w:t xml:space="preserve"> Испания и Португалия, с което завършва интеграцията на Южна Европа. Тези държави са пример за това как членството в Общността може да подпомогне демократизацията и икономическата модернизация след авторитарни режими.</w:t>
      </w:r>
    </w:p>
    <w:p w14:paraId="20D62947"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 xml:space="preserve">През 1995 г. след края на Студената война настъпва четвъртата вълна на разширяване </w:t>
      </w:r>
      <w:r w:rsidR="00607EB7">
        <w:rPr>
          <w:rFonts w:ascii="Times New Roman" w:hAnsi="Times New Roman" w:cs="Times New Roman"/>
          <w:sz w:val="24"/>
          <w:szCs w:val="24"/>
        </w:rPr>
        <w:t>-</w:t>
      </w:r>
      <w:r w:rsidRPr="003C1399">
        <w:rPr>
          <w:rFonts w:ascii="Times New Roman" w:hAnsi="Times New Roman" w:cs="Times New Roman"/>
          <w:sz w:val="24"/>
          <w:szCs w:val="24"/>
        </w:rPr>
        <w:t xml:space="preserve"> Австрия, Финландия и Швеция се присъединяват към ЕС. Това бележи нов етап, при който членството става символ на политическа стабилност и споделени европейски ценности.</w:t>
      </w:r>
      <w:r w:rsidR="00CB2925" w:rsidRPr="00532CF3">
        <w:rPr>
          <w:rFonts w:ascii="Times New Roman" w:hAnsi="Times New Roman" w:cs="Times New Roman"/>
          <w:sz w:val="24"/>
          <w:szCs w:val="24"/>
        </w:rPr>
        <w:t xml:space="preserve"> </w:t>
      </w:r>
      <w:r w:rsidRPr="003C1399">
        <w:rPr>
          <w:rFonts w:ascii="Times New Roman" w:hAnsi="Times New Roman" w:cs="Times New Roman"/>
          <w:sz w:val="24"/>
          <w:szCs w:val="24"/>
        </w:rPr>
        <w:t xml:space="preserve">Най-мащабното разширяване е осъществено през 2004 г., когато към ЕС се присъединяват десет държави от Централна и Източна Европа </w:t>
      </w:r>
      <w:r w:rsidR="00DF4BA2">
        <w:rPr>
          <w:rFonts w:ascii="Times New Roman" w:hAnsi="Times New Roman" w:cs="Times New Roman"/>
          <w:sz w:val="24"/>
          <w:szCs w:val="24"/>
        </w:rPr>
        <w:t>-</w:t>
      </w:r>
      <w:r w:rsidRPr="003C1399">
        <w:rPr>
          <w:rFonts w:ascii="Times New Roman" w:hAnsi="Times New Roman" w:cs="Times New Roman"/>
          <w:sz w:val="24"/>
          <w:szCs w:val="24"/>
        </w:rPr>
        <w:t xml:space="preserve"> Естония, Латвия, Литва, Полша, Чехия, Словакия, Унгария, Словения, Кипър и Малта. Това разширяване има огромно историческо значение, тъй като бележи края на разделението на Европа след Втората световна война.</w:t>
      </w:r>
    </w:p>
    <w:p w14:paraId="52FA5106"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lastRenderedPageBreak/>
        <w:t xml:space="preserve">През 2007 г. членове стават България и Румъния, а през 2013 г. </w:t>
      </w:r>
      <w:r w:rsidR="00DF4BA2">
        <w:rPr>
          <w:rFonts w:ascii="Times New Roman" w:hAnsi="Times New Roman" w:cs="Times New Roman"/>
          <w:sz w:val="24"/>
          <w:szCs w:val="24"/>
        </w:rPr>
        <w:t>-</w:t>
      </w:r>
      <w:r w:rsidRPr="003C1399">
        <w:rPr>
          <w:rFonts w:ascii="Times New Roman" w:hAnsi="Times New Roman" w:cs="Times New Roman"/>
          <w:sz w:val="24"/>
          <w:szCs w:val="24"/>
        </w:rPr>
        <w:t xml:space="preserve"> Хърватия. Така броят на държавите членки достига 28</w:t>
      </w:r>
      <w:r w:rsidR="00DA2F79">
        <w:rPr>
          <w:rFonts w:ascii="Times New Roman" w:hAnsi="Times New Roman" w:cs="Times New Roman"/>
          <w:sz w:val="24"/>
          <w:szCs w:val="24"/>
        </w:rPr>
        <w:t xml:space="preserve"> (</w:t>
      </w:r>
      <w:r w:rsidR="00C1383C" w:rsidRPr="00C1383C">
        <w:rPr>
          <w:rFonts w:ascii="Times New Roman" w:hAnsi="Times New Roman" w:cs="Times New Roman"/>
          <w:b/>
          <w:bCs/>
          <w:sz w:val="24"/>
          <w:szCs w:val="24"/>
        </w:rPr>
        <w:t xml:space="preserve">вж. </w:t>
      </w:r>
      <w:r w:rsidR="00C1383C" w:rsidRPr="00C1383C">
        <w:rPr>
          <w:rFonts w:ascii="Times New Roman" w:hAnsi="Times New Roman" w:cs="Times New Roman"/>
          <w:b/>
          <w:bCs/>
          <w:i/>
          <w:iCs/>
          <w:sz w:val="24"/>
          <w:szCs w:val="24"/>
        </w:rPr>
        <w:t>Т</w:t>
      </w:r>
      <w:r w:rsidR="00DA2F79" w:rsidRPr="00C1383C">
        <w:rPr>
          <w:rFonts w:ascii="Times New Roman" w:hAnsi="Times New Roman" w:cs="Times New Roman"/>
          <w:b/>
          <w:bCs/>
          <w:i/>
          <w:iCs/>
          <w:sz w:val="24"/>
          <w:szCs w:val="24"/>
        </w:rPr>
        <w:t>а</w:t>
      </w:r>
      <w:r w:rsidR="00DA2F79" w:rsidRPr="00350795">
        <w:rPr>
          <w:rFonts w:ascii="Times New Roman" w:hAnsi="Times New Roman" w:cs="Times New Roman"/>
          <w:b/>
          <w:bCs/>
          <w:i/>
          <w:iCs/>
          <w:sz w:val="24"/>
          <w:szCs w:val="24"/>
        </w:rPr>
        <w:t>блица 1</w:t>
      </w:r>
      <w:r w:rsidR="00DA2F79">
        <w:rPr>
          <w:rFonts w:ascii="Times New Roman" w:hAnsi="Times New Roman" w:cs="Times New Roman"/>
          <w:sz w:val="24"/>
          <w:szCs w:val="24"/>
        </w:rPr>
        <w:t>)</w:t>
      </w:r>
      <w:r w:rsidRPr="003C1399">
        <w:rPr>
          <w:rFonts w:ascii="Times New Roman" w:hAnsi="Times New Roman" w:cs="Times New Roman"/>
          <w:sz w:val="24"/>
          <w:szCs w:val="24"/>
        </w:rPr>
        <w:t>.</w:t>
      </w:r>
      <w:r w:rsidR="00856D45">
        <w:rPr>
          <w:rStyle w:val="FootnoteReference"/>
          <w:rFonts w:ascii="Times New Roman" w:hAnsi="Times New Roman" w:cs="Times New Roman"/>
          <w:sz w:val="24"/>
          <w:szCs w:val="24"/>
        </w:rPr>
        <w:footnoteReference w:id="2"/>
      </w:r>
    </w:p>
    <w:p w14:paraId="680330EA" w14:textId="77777777" w:rsidR="00FA5FB3" w:rsidRDefault="00FA5FB3" w:rsidP="001F47B2">
      <w:pPr>
        <w:pStyle w:val="Caption"/>
        <w:keepNext/>
        <w:spacing w:after="0" w:line="360" w:lineRule="auto"/>
      </w:pPr>
      <w:r>
        <w:t xml:space="preserve">таблица </w:t>
      </w:r>
      <w:r>
        <w:fldChar w:fldCharType="begin"/>
      </w:r>
      <w:r>
        <w:instrText xml:space="preserve"> SEQ таблица \* ARABIC </w:instrText>
      </w:r>
      <w:r>
        <w:fldChar w:fldCharType="separate"/>
      </w:r>
      <w:r>
        <w:rPr>
          <w:noProof/>
        </w:rPr>
        <w:t>1</w:t>
      </w:r>
      <w:r>
        <w:rPr>
          <w:noProof/>
        </w:rPr>
        <w:fldChar w:fldCharType="end"/>
      </w:r>
      <w:r w:rsidRPr="00FA5FB3">
        <w:t xml:space="preserve">. </w:t>
      </w:r>
      <w:r>
        <w:t>Членове на ЕС и дати на присъединяване (съставена по данни от Европейски съюз (2022), Разширяване на ЕС)</w:t>
      </w:r>
    </w:p>
    <w:tbl>
      <w:tblPr>
        <w:tblStyle w:val="GridTable4-Accent11"/>
        <w:tblpPr w:leftFromText="180" w:rightFromText="180" w:vertAnchor="text" w:horzAnchor="margin" w:tblpY="86"/>
        <w:tblW w:w="10456" w:type="dxa"/>
        <w:tblLook w:val="04A0" w:firstRow="1" w:lastRow="0" w:firstColumn="1" w:lastColumn="0" w:noHBand="0" w:noVBand="1"/>
      </w:tblPr>
      <w:tblGrid>
        <w:gridCol w:w="1216"/>
        <w:gridCol w:w="6036"/>
        <w:gridCol w:w="3204"/>
      </w:tblGrid>
      <w:tr w:rsidR="00CB2925" w:rsidRPr="00CB2925" w14:paraId="45D4D1F8" w14:textId="77777777" w:rsidTr="00955C77">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D7863C3" w14:textId="77777777" w:rsidR="00CB2925" w:rsidRPr="00CB2925" w:rsidRDefault="00CB2925" w:rsidP="00955C77">
            <w:pPr>
              <w:spacing w:line="360" w:lineRule="auto"/>
              <w:jc w:val="center"/>
              <w:rPr>
                <w:rFonts w:ascii="Times New Roman" w:hAnsi="Times New Roman" w:cs="Times New Roman"/>
                <w:sz w:val="20"/>
                <w:szCs w:val="20"/>
              </w:rPr>
            </w:pPr>
            <w:r w:rsidRPr="00CB2925">
              <w:rPr>
                <w:rFonts w:ascii="Times New Roman" w:hAnsi="Times New Roman" w:cs="Times New Roman"/>
                <w:sz w:val="20"/>
                <w:szCs w:val="20"/>
              </w:rPr>
              <w:t>Дата</w:t>
            </w:r>
          </w:p>
        </w:tc>
        <w:tc>
          <w:tcPr>
            <w:tcW w:w="0" w:type="auto"/>
            <w:vAlign w:val="center"/>
          </w:tcPr>
          <w:p w14:paraId="6E98191D" w14:textId="77777777" w:rsidR="00CB2925" w:rsidRPr="00CB2925" w:rsidRDefault="00CB2925" w:rsidP="00955C7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B2925">
              <w:rPr>
                <w:rFonts w:ascii="Times New Roman" w:hAnsi="Times New Roman" w:cs="Times New Roman"/>
                <w:sz w:val="20"/>
                <w:szCs w:val="20"/>
              </w:rPr>
              <w:t xml:space="preserve">Държава </w:t>
            </w:r>
            <w:r w:rsidRPr="00CB2925">
              <w:rPr>
                <w:rFonts w:ascii="Times New Roman" w:hAnsi="Times New Roman" w:cs="Times New Roman"/>
                <w:sz w:val="20"/>
                <w:szCs w:val="20"/>
                <w:lang w:val="en-GB"/>
              </w:rPr>
              <w:t xml:space="preserve">/ </w:t>
            </w:r>
            <w:r w:rsidRPr="00CB2925">
              <w:rPr>
                <w:rFonts w:ascii="Times New Roman" w:hAnsi="Times New Roman" w:cs="Times New Roman"/>
                <w:sz w:val="20"/>
                <w:szCs w:val="20"/>
              </w:rPr>
              <w:t>и</w:t>
            </w:r>
          </w:p>
        </w:tc>
        <w:tc>
          <w:tcPr>
            <w:tcW w:w="3204" w:type="dxa"/>
            <w:vAlign w:val="center"/>
          </w:tcPr>
          <w:p w14:paraId="5C084F3E" w14:textId="77777777" w:rsidR="00CB2925" w:rsidRPr="00CB2925" w:rsidRDefault="00CB2925" w:rsidP="00955C7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B2925">
              <w:rPr>
                <w:rFonts w:ascii="Times New Roman" w:hAnsi="Times New Roman" w:cs="Times New Roman"/>
                <w:sz w:val="20"/>
                <w:szCs w:val="20"/>
              </w:rPr>
              <w:t>Бележки</w:t>
            </w:r>
          </w:p>
        </w:tc>
      </w:tr>
      <w:tr w:rsidR="00CB2925" w:rsidRPr="00CB2925" w14:paraId="3AA1FA0E" w14:textId="77777777" w:rsidTr="00955C77">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87E5C6"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25 март 1957</w:t>
            </w:r>
          </w:p>
        </w:tc>
        <w:tc>
          <w:tcPr>
            <w:tcW w:w="0" w:type="auto"/>
            <w:vAlign w:val="center"/>
          </w:tcPr>
          <w:p w14:paraId="488685C4"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Белгия, Франция, Италия, Германия, Нидерландия, Люксембург</w:t>
            </w:r>
          </w:p>
        </w:tc>
        <w:tc>
          <w:tcPr>
            <w:tcW w:w="3204" w:type="dxa"/>
            <w:vAlign w:val="center"/>
          </w:tcPr>
          <w:p w14:paraId="6BC689D1"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Основатели</w:t>
            </w:r>
          </w:p>
        </w:tc>
      </w:tr>
      <w:tr w:rsidR="00CB2925" w:rsidRPr="00CB2925" w14:paraId="3A1D5CAC" w14:textId="77777777" w:rsidTr="00955C77">
        <w:trPr>
          <w:trHeight w:val="20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02D0E9"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януари 1973</w:t>
            </w:r>
          </w:p>
        </w:tc>
        <w:tc>
          <w:tcPr>
            <w:tcW w:w="0" w:type="auto"/>
            <w:vAlign w:val="center"/>
          </w:tcPr>
          <w:p w14:paraId="4E157514"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Дания, Великобритания, Ирландия</w:t>
            </w:r>
          </w:p>
        </w:tc>
        <w:tc>
          <w:tcPr>
            <w:tcW w:w="3204" w:type="dxa"/>
            <w:vAlign w:val="center"/>
          </w:tcPr>
          <w:p w14:paraId="28395277"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Първо разширяване</w:t>
            </w:r>
          </w:p>
        </w:tc>
      </w:tr>
      <w:tr w:rsidR="00CB2925" w:rsidRPr="00CB2925" w14:paraId="793B8B8A" w14:textId="77777777" w:rsidTr="00955C77">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790A3A"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януари 1981</w:t>
            </w:r>
          </w:p>
        </w:tc>
        <w:tc>
          <w:tcPr>
            <w:tcW w:w="0" w:type="auto"/>
            <w:vAlign w:val="center"/>
          </w:tcPr>
          <w:p w14:paraId="258A2172"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Гърция</w:t>
            </w:r>
          </w:p>
        </w:tc>
        <w:tc>
          <w:tcPr>
            <w:tcW w:w="3204" w:type="dxa"/>
            <w:vAlign w:val="center"/>
          </w:tcPr>
          <w:p w14:paraId="3F31EC1B"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Второ разширяване</w:t>
            </w:r>
          </w:p>
        </w:tc>
      </w:tr>
      <w:tr w:rsidR="00CB2925" w:rsidRPr="00CB2925" w14:paraId="7ABE2D20" w14:textId="77777777" w:rsidTr="00955C77">
        <w:trPr>
          <w:trHeight w:val="194"/>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653520"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януари 1986</w:t>
            </w:r>
          </w:p>
        </w:tc>
        <w:tc>
          <w:tcPr>
            <w:tcW w:w="0" w:type="auto"/>
            <w:vAlign w:val="center"/>
          </w:tcPr>
          <w:p w14:paraId="51B4008A"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Испания и Португалия</w:t>
            </w:r>
          </w:p>
        </w:tc>
        <w:tc>
          <w:tcPr>
            <w:tcW w:w="3204" w:type="dxa"/>
            <w:vAlign w:val="center"/>
          </w:tcPr>
          <w:p w14:paraId="018587FA"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Трето разширяване</w:t>
            </w:r>
          </w:p>
        </w:tc>
      </w:tr>
      <w:tr w:rsidR="00CB2925" w:rsidRPr="00CB2925" w14:paraId="622BDBBD" w14:textId="77777777" w:rsidTr="00955C77">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D62460"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януари 1995</w:t>
            </w:r>
          </w:p>
        </w:tc>
        <w:tc>
          <w:tcPr>
            <w:tcW w:w="0" w:type="auto"/>
            <w:vAlign w:val="center"/>
          </w:tcPr>
          <w:p w14:paraId="6E3E76ED"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Австрия, Финландия, Швеция</w:t>
            </w:r>
          </w:p>
        </w:tc>
        <w:tc>
          <w:tcPr>
            <w:tcW w:w="3204" w:type="dxa"/>
            <w:vAlign w:val="center"/>
          </w:tcPr>
          <w:p w14:paraId="6D654C45"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Четвърто разширяване</w:t>
            </w:r>
          </w:p>
        </w:tc>
      </w:tr>
      <w:tr w:rsidR="00CB2925" w:rsidRPr="00CB2925" w14:paraId="5A3AD371" w14:textId="77777777" w:rsidTr="00955C77">
        <w:trPr>
          <w:trHeight w:val="33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99D86C"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май 2004</w:t>
            </w:r>
          </w:p>
        </w:tc>
        <w:tc>
          <w:tcPr>
            <w:tcW w:w="0" w:type="auto"/>
            <w:vAlign w:val="center"/>
          </w:tcPr>
          <w:p w14:paraId="74107D40"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Чехия, Естония, Латвия, Литва, Унгария, Малта, Полша, Словакия, Словения, Кипър</w:t>
            </w:r>
          </w:p>
        </w:tc>
        <w:tc>
          <w:tcPr>
            <w:tcW w:w="3204" w:type="dxa"/>
            <w:vAlign w:val="center"/>
          </w:tcPr>
          <w:p w14:paraId="37A1EE2C"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Пето разширяване</w:t>
            </w:r>
          </w:p>
        </w:tc>
      </w:tr>
      <w:tr w:rsidR="00CB2925" w:rsidRPr="00CB2925" w14:paraId="1EACA298" w14:textId="77777777" w:rsidTr="00955C77">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CE7E81"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януари 2007</w:t>
            </w:r>
          </w:p>
        </w:tc>
        <w:tc>
          <w:tcPr>
            <w:tcW w:w="0" w:type="auto"/>
            <w:vAlign w:val="center"/>
          </w:tcPr>
          <w:p w14:paraId="15D7D649"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България, Румъния</w:t>
            </w:r>
          </w:p>
        </w:tc>
        <w:tc>
          <w:tcPr>
            <w:tcW w:w="3204" w:type="dxa"/>
            <w:vAlign w:val="center"/>
          </w:tcPr>
          <w:p w14:paraId="14446392" w14:textId="77777777" w:rsidR="00CB2925" w:rsidRPr="00CB2925" w:rsidRDefault="00CB2925" w:rsidP="00955C7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Шесто разширяване</w:t>
            </w:r>
          </w:p>
        </w:tc>
      </w:tr>
      <w:tr w:rsidR="00CB2925" w:rsidRPr="00CB2925" w14:paraId="23576F1E" w14:textId="77777777" w:rsidTr="00955C77">
        <w:trPr>
          <w:trHeight w:val="13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E670CA" w14:textId="77777777" w:rsidR="00CB2925" w:rsidRPr="00CB2925" w:rsidRDefault="00CB2925" w:rsidP="00955C77">
            <w:pPr>
              <w:spacing w:line="360" w:lineRule="auto"/>
              <w:jc w:val="center"/>
              <w:rPr>
                <w:rFonts w:ascii="Times New Roman" w:hAnsi="Times New Roman" w:cs="Times New Roman"/>
                <w:sz w:val="16"/>
                <w:szCs w:val="16"/>
              </w:rPr>
            </w:pPr>
            <w:r w:rsidRPr="00CB2925">
              <w:rPr>
                <w:rFonts w:ascii="Times New Roman" w:hAnsi="Times New Roman" w:cs="Times New Roman"/>
                <w:sz w:val="16"/>
                <w:szCs w:val="16"/>
              </w:rPr>
              <w:t>1 юли 2013</w:t>
            </w:r>
          </w:p>
        </w:tc>
        <w:tc>
          <w:tcPr>
            <w:tcW w:w="0" w:type="auto"/>
            <w:vAlign w:val="center"/>
          </w:tcPr>
          <w:p w14:paraId="2681F1D7"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Хърватия</w:t>
            </w:r>
          </w:p>
        </w:tc>
        <w:tc>
          <w:tcPr>
            <w:tcW w:w="3204" w:type="dxa"/>
            <w:vAlign w:val="center"/>
          </w:tcPr>
          <w:p w14:paraId="622793A1" w14:textId="77777777" w:rsidR="00CB2925" w:rsidRPr="00CB2925" w:rsidRDefault="00CB2925" w:rsidP="00955C7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B2925">
              <w:rPr>
                <w:rFonts w:ascii="Times New Roman" w:hAnsi="Times New Roman" w:cs="Times New Roman"/>
                <w:sz w:val="16"/>
                <w:szCs w:val="16"/>
              </w:rPr>
              <w:t xml:space="preserve">Седмо </w:t>
            </w:r>
            <w:r w:rsidRPr="00CB2925">
              <w:rPr>
                <w:rFonts w:ascii="Times New Roman" w:hAnsi="Times New Roman" w:cs="Times New Roman"/>
                <w:sz w:val="16"/>
                <w:szCs w:val="16"/>
                <w:lang w:val="en-GB"/>
              </w:rPr>
              <w:t>/</w:t>
            </w:r>
            <w:r w:rsidRPr="00CB2925">
              <w:rPr>
                <w:rFonts w:ascii="Times New Roman" w:hAnsi="Times New Roman" w:cs="Times New Roman"/>
                <w:sz w:val="16"/>
                <w:szCs w:val="16"/>
              </w:rPr>
              <w:t xml:space="preserve"> последно разширяване</w:t>
            </w:r>
          </w:p>
        </w:tc>
      </w:tr>
    </w:tbl>
    <w:p w14:paraId="6C4E8D64" w14:textId="77777777" w:rsidR="003C1399" w:rsidRPr="003C1399" w:rsidRDefault="003C1399" w:rsidP="001F47B2">
      <w:pPr>
        <w:spacing w:before="240"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 xml:space="preserve">След излизането на Обединеното кралство от ЕС (Брекзит) през 2020 г. съюзът включва 27 държави, но политиката на разширяване остава жива </w:t>
      </w:r>
      <w:r w:rsidR="00DF4BA2">
        <w:rPr>
          <w:rFonts w:ascii="Times New Roman" w:hAnsi="Times New Roman" w:cs="Times New Roman"/>
          <w:sz w:val="24"/>
          <w:szCs w:val="24"/>
        </w:rPr>
        <w:t>-</w:t>
      </w:r>
      <w:r w:rsidRPr="003C1399">
        <w:rPr>
          <w:rFonts w:ascii="Times New Roman" w:hAnsi="Times New Roman" w:cs="Times New Roman"/>
          <w:sz w:val="24"/>
          <w:szCs w:val="24"/>
        </w:rPr>
        <w:t xml:space="preserve"> с акцент върху Западните Балкани, както и върху стремежите на Украйна, Молдова и Грузия към присъединяване след 2022 г.</w:t>
      </w:r>
    </w:p>
    <w:p w14:paraId="1C9317B6" w14:textId="77777777" w:rsidR="004540B7" w:rsidRPr="00532CF3"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Тези процеси показват, че разширяването е не само историческа, но и стратегическа задача, която определя ролята на ЕС като глобален актьор.</w:t>
      </w:r>
    </w:p>
    <w:p w14:paraId="520167A0" w14:textId="77777777" w:rsidR="003C1399" w:rsidRPr="00FC6C3F" w:rsidRDefault="00FC6C3F" w:rsidP="001F47B2">
      <w:pPr>
        <w:pStyle w:val="ListParagraph"/>
        <w:numPr>
          <w:ilvl w:val="1"/>
          <w:numId w:val="4"/>
        </w:numPr>
        <w:spacing w:after="0" w:line="360" w:lineRule="auto"/>
        <w:jc w:val="both"/>
        <w:divId w:val="757405240"/>
        <w:rPr>
          <w:rFonts w:ascii="Times New Roman" w:hAnsi="Times New Roman" w:cs="Times New Roman"/>
          <w:i/>
          <w:iCs/>
          <w:sz w:val="24"/>
          <w:szCs w:val="24"/>
          <w:u w:val="single"/>
        </w:rPr>
      </w:pPr>
      <w:bookmarkStart w:id="3" w:name="two_two"/>
      <w:r>
        <w:rPr>
          <w:rFonts w:ascii="Times New Roman" w:hAnsi="Times New Roman" w:cs="Times New Roman"/>
          <w:i/>
          <w:iCs/>
          <w:sz w:val="24"/>
          <w:szCs w:val="24"/>
          <w:u w:val="single"/>
        </w:rPr>
        <w:t xml:space="preserve"> </w:t>
      </w:r>
      <w:r w:rsidR="003C1399" w:rsidRPr="00FC6C3F">
        <w:rPr>
          <w:rFonts w:ascii="Times New Roman" w:hAnsi="Times New Roman" w:cs="Times New Roman"/>
          <w:i/>
          <w:iCs/>
          <w:sz w:val="24"/>
          <w:szCs w:val="24"/>
          <w:u w:val="single"/>
        </w:rPr>
        <w:t>Правна и институционална рамка на разширяването</w:t>
      </w:r>
      <w:bookmarkEnd w:id="3"/>
    </w:p>
    <w:p w14:paraId="1AF13C0B"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Разширяването на ЕС се осъществява на основата на ясна правна и институционална рамка, която гарантира, че новите членове споделят ценностите и принципите на Съюза. Основата на тази рамка е заложена в Договора за Европейския съюз (ДЕС), член 49, който определя условията и процедурата за присъединяване.</w:t>
      </w:r>
      <w:r w:rsidR="00856419">
        <w:rPr>
          <w:rFonts w:ascii="Times New Roman" w:hAnsi="Times New Roman" w:cs="Times New Roman"/>
          <w:sz w:val="24"/>
          <w:szCs w:val="24"/>
        </w:rPr>
        <w:t xml:space="preserve"> </w:t>
      </w:r>
      <w:r w:rsidRPr="003C1399">
        <w:rPr>
          <w:rFonts w:ascii="Times New Roman" w:hAnsi="Times New Roman" w:cs="Times New Roman"/>
          <w:sz w:val="24"/>
          <w:szCs w:val="24"/>
        </w:rPr>
        <w:t>Всяка европейска държава, която зачита принципите на свобода, демокрация, върховенство на правото и правата на човека, може да кандидатства за членство, като подава официална молба до Съвета на ЕС.</w:t>
      </w:r>
      <w:r w:rsidR="00FC6C3F">
        <w:rPr>
          <w:rFonts w:ascii="Times New Roman" w:hAnsi="Times New Roman" w:cs="Times New Roman"/>
          <w:sz w:val="24"/>
          <w:szCs w:val="24"/>
        </w:rPr>
        <w:t xml:space="preserve"> </w:t>
      </w:r>
      <w:r w:rsidRPr="003C1399">
        <w:rPr>
          <w:rFonts w:ascii="Times New Roman" w:hAnsi="Times New Roman" w:cs="Times New Roman"/>
          <w:sz w:val="24"/>
          <w:szCs w:val="24"/>
        </w:rPr>
        <w:t>През 1993 г. Европейският съвет в Копенхаген формулира така наречените Копенхагенски критерии, които и до днес представляват основен ориентир за оценка на готовността на кандидатите.</w:t>
      </w:r>
      <w:r w:rsidR="006E5E50">
        <w:rPr>
          <w:rStyle w:val="FootnoteReference"/>
          <w:rFonts w:ascii="Times New Roman" w:hAnsi="Times New Roman" w:cs="Times New Roman"/>
          <w:sz w:val="24"/>
          <w:szCs w:val="24"/>
        </w:rPr>
        <w:footnoteReference w:id="3"/>
      </w:r>
      <w:r w:rsidRPr="003C1399">
        <w:rPr>
          <w:rFonts w:ascii="Times New Roman" w:hAnsi="Times New Roman" w:cs="Times New Roman"/>
          <w:sz w:val="24"/>
          <w:szCs w:val="24"/>
        </w:rPr>
        <w:t xml:space="preserve"> Те включват:</w:t>
      </w:r>
    </w:p>
    <w:p w14:paraId="33994072" w14:textId="77777777" w:rsidR="00A61B58" w:rsidRDefault="003C1399" w:rsidP="001F47B2">
      <w:pPr>
        <w:pStyle w:val="ListParagraph"/>
        <w:numPr>
          <w:ilvl w:val="0"/>
          <w:numId w:val="24"/>
        </w:numPr>
        <w:spacing w:after="0" w:line="360" w:lineRule="auto"/>
        <w:jc w:val="both"/>
        <w:divId w:val="757405240"/>
        <w:rPr>
          <w:rFonts w:ascii="Times New Roman" w:hAnsi="Times New Roman" w:cs="Times New Roman"/>
          <w:sz w:val="24"/>
          <w:szCs w:val="24"/>
        </w:rPr>
      </w:pPr>
      <w:r w:rsidRPr="00CB2925">
        <w:rPr>
          <w:rFonts w:ascii="Times New Roman" w:hAnsi="Times New Roman" w:cs="Times New Roman"/>
          <w:i/>
          <w:iCs/>
          <w:sz w:val="24"/>
          <w:szCs w:val="24"/>
        </w:rPr>
        <w:t>Политически критерии</w:t>
      </w:r>
      <w:r w:rsidRPr="00A61B58">
        <w:rPr>
          <w:rFonts w:ascii="Times New Roman" w:hAnsi="Times New Roman" w:cs="Times New Roman"/>
          <w:sz w:val="24"/>
          <w:szCs w:val="24"/>
        </w:rPr>
        <w:t xml:space="preserve"> </w:t>
      </w:r>
      <w:r w:rsidR="00A61B58">
        <w:rPr>
          <w:rFonts w:ascii="Times New Roman" w:hAnsi="Times New Roman" w:cs="Times New Roman"/>
          <w:sz w:val="24"/>
          <w:szCs w:val="24"/>
        </w:rPr>
        <w:t>-</w:t>
      </w:r>
      <w:r w:rsidRPr="00A61B58">
        <w:rPr>
          <w:rFonts w:ascii="Times New Roman" w:hAnsi="Times New Roman" w:cs="Times New Roman"/>
          <w:sz w:val="24"/>
          <w:szCs w:val="24"/>
        </w:rPr>
        <w:t xml:space="preserve"> стабилни институции, гарантиращи демокрацията, върховенството на закона, човешките права и защитата на малцинствата;</w:t>
      </w:r>
    </w:p>
    <w:p w14:paraId="194A3613" w14:textId="77777777" w:rsidR="00A61B58" w:rsidRDefault="003C1399" w:rsidP="001F47B2">
      <w:pPr>
        <w:pStyle w:val="ListParagraph"/>
        <w:numPr>
          <w:ilvl w:val="0"/>
          <w:numId w:val="24"/>
        </w:numPr>
        <w:spacing w:after="0" w:line="360" w:lineRule="auto"/>
        <w:jc w:val="both"/>
        <w:divId w:val="757405240"/>
        <w:rPr>
          <w:rFonts w:ascii="Times New Roman" w:hAnsi="Times New Roman" w:cs="Times New Roman"/>
          <w:sz w:val="24"/>
          <w:szCs w:val="24"/>
        </w:rPr>
      </w:pPr>
      <w:r w:rsidRPr="00CB2925">
        <w:rPr>
          <w:rFonts w:ascii="Times New Roman" w:hAnsi="Times New Roman" w:cs="Times New Roman"/>
          <w:i/>
          <w:iCs/>
          <w:sz w:val="24"/>
          <w:szCs w:val="24"/>
        </w:rPr>
        <w:t>Икономически критерии</w:t>
      </w:r>
      <w:r w:rsidRPr="00A61B58">
        <w:rPr>
          <w:rFonts w:ascii="Times New Roman" w:hAnsi="Times New Roman" w:cs="Times New Roman"/>
          <w:sz w:val="24"/>
          <w:szCs w:val="24"/>
        </w:rPr>
        <w:t xml:space="preserve"> </w:t>
      </w:r>
      <w:r w:rsidR="00A61B58">
        <w:rPr>
          <w:rFonts w:ascii="Times New Roman" w:hAnsi="Times New Roman" w:cs="Times New Roman"/>
          <w:sz w:val="24"/>
          <w:szCs w:val="24"/>
        </w:rPr>
        <w:t>-</w:t>
      </w:r>
      <w:r w:rsidRPr="00A61B58">
        <w:rPr>
          <w:rFonts w:ascii="Times New Roman" w:hAnsi="Times New Roman" w:cs="Times New Roman"/>
          <w:sz w:val="24"/>
          <w:szCs w:val="24"/>
        </w:rPr>
        <w:t xml:space="preserve"> функционираща пазарна икономика и способност да се справят с конкурентния натиск в рамките на вътрешния пазар на ЕС;</w:t>
      </w:r>
    </w:p>
    <w:p w14:paraId="4F093684" w14:textId="77777777" w:rsidR="003C1399" w:rsidRPr="00A61B58" w:rsidRDefault="003C1399" w:rsidP="001F47B2">
      <w:pPr>
        <w:pStyle w:val="ListParagraph"/>
        <w:numPr>
          <w:ilvl w:val="0"/>
          <w:numId w:val="24"/>
        </w:numPr>
        <w:spacing w:after="0" w:line="360" w:lineRule="auto"/>
        <w:jc w:val="both"/>
        <w:divId w:val="757405240"/>
        <w:rPr>
          <w:rFonts w:ascii="Times New Roman" w:hAnsi="Times New Roman" w:cs="Times New Roman"/>
          <w:sz w:val="24"/>
          <w:szCs w:val="24"/>
        </w:rPr>
      </w:pPr>
      <w:r w:rsidRPr="00CB2925">
        <w:rPr>
          <w:rFonts w:ascii="Times New Roman" w:hAnsi="Times New Roman" w:cs="Times New Roman"/>
          <w:i/>
          <w:iCs/>
          <w:sz w:val="24"/>
          <w:szCs w:val="24"/>
        </w:rPr>
        <w:t xml:space="preserve">Административен и правен капацитет </w:t>
      </w:r>
      <w:r w:rsidR="00A61B58">
        <w:rPr>
          <w:rFonts w:ascii="Times New Roman" w:hAnsi="Times New Roman" w:cs="Times New Roman"/>
          <w:sz w:val="24"/>
          <w:szCs w:val="24"/>
        </w:rPr>
        <w:t>-</w:t>
      </w:r>
      <w:r w:rsidRPr="00A61B58">
        <w:rPr>
          <w:rFonts w:ascii="Times New Roman" w:hAnsi="Times New Roman" w:cs="Times New Roman"/>
          <w:sz w:val="24"/>
          <w:szCs w:val="24"/>
        </w:rPr>
        <w:t xml:space="preserve"> способност за прилагане на правото на ЕС (</w:t>
      </w:r>
      <w:r w:rsidRPr="003C47CC">
        <w:rPr>
          <w:rFonts w:ascii="Times New Roman" w:hAnsi="Times New Roman" w:cs="Times New Roman"/>
          <w:i/>
          <w:iCs/>
          <w:sz w:val="24"/>
          <w:szCs w:val="24"/>
        </w:rPr>
        <w:t>acquis communautaire</w:t>
      </w:r>
      <w:r w:rsidRPr="00A61B58">
        <w:rPr>
          <w:rFonts w:ascii="Times New Roman" w:hAnsi="Times New Roman" w:cs="Times New Roman"/>
          <w:sz w:val="24"/>
          <w:szCs w:val="24"/>
        </w:rPr>
        <w:t>).</w:t>
      </w:r>
    </w:p>
    <w:p w14:paraId="2F7D47F6"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През 2003 г. на срещата в Солун ЕС потвърждава европейската перспектива на Западните Балкани, а по-късно се създава Европейската политика за съседство (ЕПС) и Инструментът за предприсъединителна помощ (IPA), чрез които се осигурява финансова и техническа подкрепа на страните кандидати и потенциални кандидати.</w:t>
      </w:r>
      <w:r w:rsidR="003C47CC">
        <w:rPr>
          <w:rFonts w:ascii="Times New Roman" w:hAnsi="Times New Roman" w:cs="Times New Roman"/>
          <w:sz w:val="24"/>
          <w:szCs w:val="24"/>
        </w:rPr>
        <w:t xml:space="preserve"> </w:t>
      </w:r>
      <w:r w:rsidRPr="003C1399">
        <w:rPr>
          <w:rFonts w:ascii="Times New Roman" w:hAnsi="Times New Roman" w:cs="Times New Roman"/>
          <w:sz w:val="24"/>
          <w:szCs w:val="24"/>
        </w:rPr>
        <w:t xml:space="preserve">Тези механизми не само подготвят държавите за </w:t>
      </w:r>
      <w:r w:rsidRPr="003C1399">
        <w:rPr>
          <w:rFonts w:ascii="Times New Roman" w:hAnsi="Times New Roman" w:cs="Times New Roman"/>
          <w:sz w:val="24"/>
          <w:szCs w:val="24"/>
        </w:rPr>
        <w:lastRenderedPageBreak/>
        <w:t>членство, но и служат като инструмент за насърчаване на реформи и укрепване на институционалния капацитет.</w:t>
      </w:r>
      <w:r w:rsidR="0088372E">
        <w:rPr>
          <w:rStyle w:val="FootnoteReference"/>
          <w:rFonts w:ascii="Times New Roman" w:hAnsi="Times New Roman" w:cs="Times New Roman"/>
          <w:sz w:val="24"/>
          <w:szCs w:val="24"/>
        </w:rPr>
        <w:footnoteReference w:id="4"/>
      </w:r>
    </w:p>
    <w:p w14:paraId="743E7252"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Институционално, основните участници в процеса на разширяване са Европейската комисия, която оценява напредъка на кандидатите чрез годишни доклади; Съветът на ЕС, който взема решенията за започване и приключване на преговорите; и Европейският парламент, който дава съгласие за приемане на нови членове.</w:t>
      </w:r>
      <w:r w:rsidR="00C50112">
        <w:rPr>
          <w:rFonts w:ascii="Times New Roman" w:hAnsi="Times New Roman" w:cs="Times New Roman"/>
          <w:sz w:val="24"/>
          <w:szCs w:val="24"/>
        </w:rPr>
        <w:t xml:space="preserve"> </w:t>
      </w:r>
      <w:r w:rsidRPr="003C1399">
        <w:rPr>
          <w:rFonts w:ascii="Times New Roman" w:hAnsi="Times New Roman" w:cs="Times New Roman"/>
          <w:sz w:val="24"/>
          <w:szCs w:val="24"/>
        </w:rPr>
        <w:t>Този многостепенен процес цели прозрачност, последователност и защита на интересите както на настоящите членки, така и на кандидатите.</w:t>
      </w:r>
    </w:p>
    <w:p w14:paraId="1AB49858" w14:textId="77777777" w:rsidR="003C1399" w:rsidRPr="00C50112" w:rsidRDefault="00FC6C3F" w:rsidP="001F47B2">
      <w:pPr>
        <w:pStyle w:val="ListParagraph"/>
        <w:numPr>
          <w:ilvl w:val="1"/>
          <w:numId w:val="4"/>
        </w:numPr>
        <w:spacing w:after="0" w:line="360" w:lineRule="auto"/>
        <w:jc w:val="both"/>
        <w:divId w:val="757405240"/>
        <w:rPr>
          <w:rFonts w:ascii="Times New Roman" w:hAnsi="Times New Roman" w:cs="Times New Roman"/>
          <w:i/>
          <w:iCs/>
          <w:sz w:val="24"/>
          <w:szCs w:val="24"/>
        </w:rPr>
      </w:pPr>
      <w:bookmarkStart w:id="4" w:name="two_three"/>
      <w:r>
        <w:rPr>
          <w:rFonts w:ascii="Times New Roman" w:hAnsi="Times New Roman" w:cs="Times New Roman"/>
          <w:i/>
          <w:iCs/>
          <w:sz w:val="24"/>
          <w:szCs w:val="24"/>
        </w:rPr>
        <w:t xml:space="preserve"> </w:t>
      </w:r>
      <w:r w:rsidR="003C1399" w:rsidRPr="00FC6C3F">
        <w:rPr>
          <w:rFonts w:ascii="Times New Roman" w:hAnsi="Times New Roman" w:cs="Times New Roman"/>
          <w:i/>
          <w:iCs/>
          <w:sz w:val="24"/>
          <w:szCs w:val="24"/>
          <w:u w:val="single"/>
        </w:rPr>
        <w:t>Мотиви и цели на разширяването</w:t>
      </w:r>
    </w:p>
    <w:bookmarkEnd w:id="4"/>
    <w:p w14:paraId="1D4538AB"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 xml:space="preserve">Мотивите за разширяване на ЕС винаги са били многопластови и са съчетавали икономически, </w:t>
      </w:r>
      <w:r w:rsidR="00FC6C3F">
        <w:rPr>
          <w:rFonts w:ascii="Times New Roman" w:hAnsi="Times New Roman" w:cs="Times New Roman"/>
          <w:sz w:val="24"/>
          <w:szCs w:val="24"/>
        </w:rPr>
        <w:t xml:space="preserve">политически и геостратегически </w:t>
      </w:r>
      <w:r w:rsidRPr="003C1399">
        <w:rPr>
          <w:rFonts w:ascii="Times New Roman" w:hAnsi="Times New Roman" w:cs="Times New Roman"/>
          <w:sz w:val="24"/>
          <w:szCs w:val="24"/>
        </w:rPr>
        <w:t>съображения.</w:t>
      </w:r>
    </w:p>
    <w:p w14:paraId="039BC3A7"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На икономическо ниво, разширяването създава по-голям вътрешен пазар, стимулира търговията, инвестициите и икономическата конвергенция между държавите членки. Новите членове получават достъп до структурни и кохезионни фондове, които ускоряват модернизацията и икономическия растеж. За старите членки разширяването открива нови възможности за износ, инвестиции и диверсификация на производството.</w:t>
      </w:r>
    </w:p>
    <w:p w14:paraId="09AD94BE"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 xml:space="preserve">Политическите мотиви са свързани с укрепването на демокрацията и стабилността в Европа. След края на Студената война разширяването към Централна и Източна Европа се разглежда като историческа мисия </w:t>
      </w:r>
      <w:r w:rsidR="009E57A1">
        <w:rPr>
          <w:rFonts w:ascii="Times New Roman" w:hAnsi="Times New Roman" w:cs="Times New Roman"/>
          <w:sz w:val="24"/>
          <w:szCs w:val="24"/>
        </w:rPr>
        <w:t>-</w:t>
      </w:r>
      <w:r w:rsidRPr="003C1399">
        <w:rPr>
          <w:rFonts w:ascii="Times New Roman" w:hAnsi="Times New Roman" w:cs="Times New Roman"/>
          <w:sz w:val="24"/>
          <w:szCs w:val="24"/>
        </w:rPr>
        <w:t xml:space="preserve"> „</w:t>
      </w:r>
      <w:r w:rsidRPr="009E57A1">
        <w:rPr>
          <w:rFonts w:ascii="Times New Roman" w:hAnsi="Times New Roman" w:cs="Times New Roman"/>
          <w:i/>
          <w:iCs/>
          <w:sz w:val="24"/>
          <w:szCs w:val="24"/>
        </w:rPr>
        <w:t>завръщане на Европа</w:t>
      </w:r>
      <w:r w:rsidRPr="003C1399">
        <w:rPr>
          <w:rFonts w:ascii="Times New Roman" w:hAnsi="Times New Roman" w:cs="Times New Roman"/>
          <w:sz w:val="24"/>
          <w:szCs w:val="24"/>
        </w:rPr>
        <w:t>“ към общите ценности. То спомага за преодоляване на разделението между Изтока и Запада и за утвърждаване на ЕС като модел за демократично управление.</w:t>
      </w:r>
    </w:p>
    <w:p w14:paraId="633003E7" w14:textId="77777777" w:rsidR="003C1399" w:rsidRPr="003C1399"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 xml:space="preserve">Разширяването има и геостратегическо измерение </w:t>
      </w:r>
      <w:r w:rsidR="009E57A1">
        <w:rPr>
          <w:rFonts w:ascii="Times New Roman" w:hAnsi="Times New Roman" w:cs="Times New Roman"/>
          <w:sz w:val="24"/>
          <w:szCs w:val="24"/>
        </w:rPr>
        <w:t>-</w:t>
      </w:r>
      <w:r w:rsidRPr="003C1399">
        <w:rPr>
          <w:rFonts w:ascii="Times New Roman" w:hAnsi="Times New Roman" w:cs="Times New Roman"/>
          <w:sz w:val="24"/>
          <w:szCs w:val="24"/>
        </w:rPr>
        <w:t xml:space="preserve"> чрез приемането на нови членове ЕС разширява зоната на стабилност, сигурност и просперитет. В контекста на нарастващи глобални предизвикателства </w:t>
      </w:r>
      <w:r w:rsidR="009E57A1">
        <w:rPr>
          <w:rFonts w:ascii="Times New Roman" w:hAnsi="Times New Roman" w:cs="Times New Roman"/>
          <w:sz w:val="24"/>
          <w:szCs w:val="24"/>
        </w:rPr>
        <w:t>-</w:t>
      </w:r>
      <w:r w:rsidRPr="003C1399">
        <w:rPr>
          <w:rFonts w:ascii="Times New Roman" w:hAnsi="Times New Roman" w:cs="Times New Roman"/>
          <w:sz w:val="24"/>
          <w:szCs w:val="24"/>
        </w:rPr>
        <w:t xml:space="preserve"> миграционни потоци, енергийна зависимост, войната в Украйна</w:t>
      </w:r>
      <w:r w:rsidR="00783C48">
        <w:rPr>
          <w:rFonts w:ascii="Times New Roman" w:hAnsi="Times New Roman" w:cs="Times New Roman"/>
          <w:sz w:val="24"/>
          <w:szCs w:val="24"/>
        </w:rPr>
        <w:t xml:space="preserve"> - </w:t>
      </w:r>
      <w:r w:rsidRPr="003C1399">
        <w:rPr>
          <w:rFonts w:ascii="Times New Roman" w:hAnsi="Times New Roman" w:cs="Times New Roman"/>
          <w:sz w:val="24"/>
          <w:szCs w:val="24"/>
        </w:rPr>
        <w:t>процесът на разширяване придобива и измерение на стратегическа отбрана и укрепване на европейската идентичност.</w:t>
      </w:r>
    </w:p>
    <w:p w14:paraId="4412AEAD" w14:textId="77777777" w:rsidR="00176A8F" w:rsidRPr="00176A8F" w:rsidRDefault="003C1399" w:rsidP="001F47B2">
      <w:pPr>
        <w:spacing w:after="0" w:line="360" w:lineRule="auto"/>
        <w:jc w:val="both"/>
        <w:divId w:val="757405240"/>
        <w:rPr>
          <w:rFonts w:ascii="Times New Roman" w:hAnsi="Times New Roman" w:cs="Times New Roman"/>
          <w:sz w:val="24"/>
          <w:szCs w:val="24"/>
        </w:rPr>
      </w:pPr>
      <w:r w:rsidRPr="003C1399">
        <w:rPr>
          <w:rFonts w:ascii="Times New Roman" w:hAnsi="Times New Roman" w:cs="Times New Roman"/>
          <w:sz w:val="24"/>
          <w:szCs w:val="24"/>
        </w:rPr>
        <w:t xml:space="preserve">Целите на политиката на разширяване остават непроменени: разширяване на зоната на стабилност, насърчаване на икономическия и социален напредък и утвърждаване на ценностите на ЕС. В съвременните условия обаче предизвикателството е да се намери баланс между разширяването и вътрешното задълбочаване на интеграцията </w:t>
      </w:r>
      <w:r w:rsidR="00783C48">
        <w:rPr>
          <w:rFonts w:ascii="Times New Roman" w:hAnsi="Times New Roman" w:cs="Times New Roman"/>
          <w:sz w:val="24"/>
          <w:szCs w:val="24"/>
        </w:rPr>
        <w:t>-</w:t>
      </w:r>
      <w:r w:rsidRPr="003C1399">
        <w:rPr>
          <w:rFonts w:ascii="Times New Roman" w:hAnsi="Times New Roman" w:cs="Times New Roman"/>
          <w:sz w:val="24"/>
          <w:szCs w:val="24"/>
        </w:rPr>
        <w:t xml:space="preserve"> процес, който ще бъде разгледан подробно в следващите глави на разработката.</w:t>
      </w:r>
    </w:p>
    <w:p w14:paraId="1BC4030F" w14:textId="77777777" w:rsidR="004B5DAA" w:rsidRPr="00FC6C3F" w:rsidRDefault="00501D0B" w:rsidP="001F47B2">
      <w:pPr>
        <w:pStyle w:val="ListParagraph"/>
        <w:numPr>
          <w:ilvl w:val="0"/>
          <w:numId w:val="4"/>
        </w:numPr>
        <w:spacing w:before="240" w:line="360" w:lineRule="auto"/>
        <w:ind w:firstLine="0"/>
        <w:jc w:val="both"/>
        <w:rPr>
          <w:rFonts w:ascii="Times New Roman" w:hAnsi="Times New Roman" w:cs="Times New Roman"/>
          <w:b/>
          <w:bCs/>
          <w:sz w:val="28"/>
          <w:szCs w:val="28"/>
          <w:u w:val="single"/>
        </w:rPr>
      </w:pPr>
      <w:bookmarkStart w:id="5" w:name="three"/>
      <w:r w:rsidRPr="00501D0B">
        <w:rPr>
          <w:rFonts w:ascii="Times New Roman" w:hAnsi="Times New Roman" w:cs="Times New Roman"/>
          <w:b/>
          <w:bCs/>
          <w:sz w:val="28"/>
          <w:szCs w:val="28"/>
        </w:rPr>
        <w:t xml:space="preserve">„Умора от разширяването“ </w:t>
      </w:r>
      <w:r w:rsidR="00760F22">
        <w:rPr>
          <w:rFonts w:ascii="Times New Roman" w:hAnsi="Times New Roman" w:cs="Times New Roman"/>
          <w:b/>
          <w:bCs/>
          <w:sz w:val="28"/>
          <w:szCs w:val="28"/>
        </w:rPr>
        <w:t>-</w:t>
      </w:r>
      <w:r w:rsidRPr="00501D0B">
        <w:rPr>
          <w:rFonts w:ascii="Times New Roman" w:hAnsi="Times New Roman" w:cs="Times New Roman"/>
          <w:b/>
          <w:bCs/>
          <w:sz w:val="28"/>
          <w:szCs w:val="28"/>
        </w:rPr>
        <w:t xml:space="preserve"> понятие, </w:t>
      </w:r>
      <w:r w:rsidRPr="00FC6C3F">
        <w:rPr>
          <w:rFonts w:ascii="Times New Roman" w:hAnsi="Times New Roman" w:cs="Times New Roman"/>
          <w:b/>
          <w:bCs/>
          <w:sz w:val="28"/>
          <w:szCs w:val="28"/>
        </w:rPr>
        <w:t>проявления и фактори</w:t>
      </w:r>
    </w:p>
    <w:p w14:paraId="49B6129E" w14:textId="77777777" w:rsidR="00882132" w:rsidRPr="00FC6C3F" w:rsidRDefault="00FC6C3F"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6" w:name="three_one"/>
      <w:bookmarkEnd w:id="5"/>
      <w:r>
        <w:rPr>
          <w:rFonts w:ascii="Times New Roman" w:hAnsi="Times New Roman" w:cs="Times New Roman"/>
          <w:i/>
          <w:iCs/>
          <w:sz w:val="24"/>
          <w:szCs w:val="24"/>
          <w:u w:val="single"/>
        </w:rPr>
        <w:t xml:space="preserve"> </w:t>
      </w:r>
      <w:r w:rsidR="00882132" w:rsidRPr="00FC6C3F">
        <w:rPr>
          <w:rFonts w:ascii="Times New Roman" w:hAnsi="Times New Roman" w:cs="Times New Roman"/>
          <w:i/>
          <w:iCs/>
          <w:sz w:val="24"/>
          <w:szCs w:val="24"/>
          <w:u w:val="single"/>
        </w:rPr>
        <w:t>Определение на термина „умора от разширяването“</w:t>
      </w:r>
      <w:bookmarkEnd w:id="6"/>
    </w:p>
    <w:p w14:paraId="68F50BC4" w14:textId="77777777" w:rsidR="00882132" w:rsidRPr="00882132"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Понятието „</w:t>
      </w:r>
      <w:r w:rsidRPr="00760F22">
        <w:rPr>
          <w:rFonts w:ascii="Times New Roman" w:hAnsi="Times New Roman" w:cs="Times New Roman"/>
          <w:i/>
          <w:iCs/>
          <w:sz w:val="24"/>
          <w:szCs w:val="24"/>
        </w:rPr>
        <w:t>умора от разширяването</w:t>
      </w:r>
      <w:r w:rsidRPr="00882132">
        <w:rPr>
          <w:rFonts w:ascii="Times New Roman" w:hAnsi="Times New Roman" w:cs="Times New Roman"/>
          <w:sz w:val="24"/>
          <w:szCs w:val="24"/>
        </w:rPr>
        <w:t>“ (</w:t>
      </w:r>
      <w:r w:rsidRPr="00760F22">
        <w:rPr>
          <w:rFonts w:ascii="Times New Roman" w:hAnsi="Times New Roman" w:cs="Times New Roman"/>
          <w:i/>
          <w:iCs/>
          <w:sz w:val="24"/>
          <w:szCs w:val="24"/>
        </w:rPr>
        <w:t>enlargement fatigue</w:t>
      </w:r>
      <w:r w:rsidRPr="00882132">
        <w:rPr>
          <w:rFonts w:ascii="Times New Roman" w:hAnsi="Times New Roman" w:cs="Times New Roman"/>
          <w:sz w:val="24"/>
          <w:szCs w:val="24"/>
        </w:rPr>
        <w:t xml:space="preserve">) се появява в научния и политическия дискурс в началото на XXI век, особено след мащабното разширяване на Европейския съюз през </w:t>
      </w:r>
      <w:r w:rsidRPr="00882132">
        <w:rPr>
          <w:rFonts w:ascii="Times New Roman" w:hAnsi="Times New Roman" w:cs="Times New Roman"/>
          <w:sz w:val="24"/>
          <w:szCs w:val="24"/>
        </w:rPr>
        <w:lastRenderedPageBreak/>
        <w:t>2004 и 2007 г. То обозначава процес на отслабване на политическата воля, институционалната готовност и обществената подкрепа за приемане на нови членове в ЕС.</w:t>
      </w:r>
      <w:r w:rsidR="00A94307">
        <w:rPr>
          <w:rFonts w:ascii="Times New Roman" w:hAnsi="Times New Roman" w:cs="Times New Roman"/>
          <w:sz w:val="24"/>
          <w:szCs w:val="24"/>
        </w:rPr>
        <w:t xml:space="preserve"> </w:t>
      </w:r>
      <w:r w:rsidRPr="00882132">
        <w:rPr>
          <w:rFonts w:ascii="Times New Roman" w:hAnsi="Times New Roman" w:cs="Times New Roman"/>
          <w:sz w:val="24"/>
          <w:szCs w:val="24"/>
        </w:rPr>
        <w:t>С други думи, „</w:t>
      </w:r>
      <w:r w:rsidRPr="00454131">
        <w:rPr>
          <w:rFonts w:ascii="Times New Roman" w:hAnsi="Times New Roman" w:cs="Times New Roman"/>
          <w:i/>
          <w:iCs/>
          <w:sz w:val="24"/>
          <w:szCs w:val="24"/>
        </w:rPr>
        <w:t>умората</w:t>
      </w:r>
      <w:r w:rsidRPr="00882132">
        <w:rPr>
          <w:rFonts w:ascii="Times New Roman" w:hAnsi="Times New Roman" w:cs="Times New Roman"/>
          <w:sz w:val="24"/>
          <w:szCs w:val="24"/>
        </w:rPr>
        <w:t>“ представлява състояние, при което самият Съюз временно или трайно ограничава своята експанзия, за да се концентрира върху вътрешната си консолидация и адаптация към вече извършените разширявания.</w:t>
      </w:r>
      <w:r w:rsidR="009A5193">
        <w:rPr>
          <w:rStyle w:val="FootnoteReference"/>
          <w:rFonts w:ascii="Times New Roman" w:hAnsi="Times New Roman" w:cs="Times New Roman"/>
          <w:sz w:val="24"/>
          <w:szCs w:val="24"/>
        </w:rPr>
        <w:footnoteReference w:id="5"/>
      </w:r>
    </w:p>
    <w:p w14:paraId="1BD14C46" w14:textId="77777777" w:rsidR="00882132" w:rsidRPr="00882132"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 xml:space="preserve">Този феномен не е резултат от един фактор, а от комбинация между вътрешни и външни обстоятелства. Вътрешно, ЕС се сблъсква с редица предизвикателства </w:t>
      </w:r>
      <w:r w:rsidR="00A94307">
        <w:rPr>
          <w:rFonts w:ascii="Times New Roman" w:hAnsi="Times New Roman" w:cs="Times New Roman"/>
          <w:sz w:val="24"/>
          <w:szCs w:val="24"/>
        </w:rPr>
        <w:t>-</w:t>
      </w:r>
      <w:r w:rsidRPr="00882132">
        <w:rPr>
          <w:rFonts w:ascii="Times New Roman" w:hAnsi="Times New Roman" w:cs="Times New Roman"/>
          <w:sz w:val="24"/>
          <w:szCs w:val="24"/>
        </w:rPr>
        <w:t xml:space="preserve"> необходимост от институционални реформи, засилване на демократичната легитимност, координация на политиките между 27 членки. Външно, глобалната нестабилност и новите геополитически рискове (като войната в Украйна) водят до пренасочване на вниманието от разширяването към въпроси на сигурността и стратегическата автономия.</w:t>
      </w:r>
      <w:r w:rsidR="00FC6C3F">
        <w:rPr>
          <w:rFonts w:ascii="Times New Roman" w:hAnsi="Times New Roman" w:cs="Times New Roman"/>
          <w:sz w:val="24"/>
          <w:szCs w:val="24"/>
        </w:rPr>
        <w:t xml:space="preserve"> </w:t>
      </w:r>
      <w:r w:rsidRPr="00882132">
        <w:rPr>
          <w:rFonts w:ascii="Times New Roman" w:hAnsi="Times New Roman" w:cs="Times New Roman"/>
          <w:sz w:val="24"/>
          <w:szCs w:val="24"/>
        </w:rPr>
        <w:t>Следователно, „</w:t>
      </w:r>
      <w:r w:rsidRPr="00A94307">
        <w:rPr>
          <w:rFonts w:ascii="Times New Roman" w:hAnsi="Times New Roman" w:cs="Times New Roman"/>
          <w:i/>
          <w:iCs/>
          <w:sz w:val="24"/>
          <w:szCs w:val="24"/>
        </w:rPr>
        <w:t>умората от разширяването</w:t>
      </w:r>
      <w:r w:rsidRPr="00882132">
        <w:rPr>
          <w:rFonts w:ascii="Times New Roman" w:hAnsi="Times New Roman" w:cs="Times New Roman"/>
          <w:sz w:val="24"/>
          <w:szCs w:val="24"/>
        </w:rPr>
        <w:t>“ не означава отказ от идеята за обединена Европа, а по-скоро временно забавяне, продиктувано от необходимостта за вътрешно укрепване и адаптация на институциите на ЕС.</w:t>
      </w:r>
    </w:p>
    <w:p w14:paraId="4767ECC0" w14:textId="77777777" w:rsidR="00882132" w:rsidRPr="003E5E91" w:rsidRDefault="00882132"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7" w:name="three_otwo"/>
      <w:r w:rsidRPr="003E5E91">
        <w:rPr>
          <w:rFonts w:ascii="Times New Roman" w:hAnsi="Times New Roman" w:cs="Times New Roman"/>
          <w:i/>
          <w:iCs/>
          <w:sz w:val="24"/>
          <w:szCs w:val="24"/>
          <w:u w:val="single"/>
        </w:rPr>
        <w:t>Политически, икономически и социални причини за „умората“</w:t>
      </w:r>
    </w:p>
    <w:bookmarkEnd w:id="7"/>
    <w:p w14:paraId="78F25AFD" w14:textId="77777777" w:rsidR="00882132" w:rsidRPr="00D925D7"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Сред основните политически причини за „</w:t>
      </w:r>
      <w:r w:rsidRPr="00A94307">
        <w:rPr>
          <w:rFonts w:ascii="Times New Roman" w:hAnsi="Times New Roman" w:cs="Times New Roman"/>
          <w:i/>
          <w:iCs/>
          <w:sz w:val="24"/>
          <w:szCs w:val="24"/>
        </w:rPr>
        <w:t>умората от разширяването</w:t>
      </w:r>
      <w:r w:rsidRPr="00882132">
        <w:rPr>
          <w:rFonts w:ascii="Times New Roman" w:hAnsi="Times New Roman" w:cs="Times New Roman"/>
          <w:sz w:val="24"/>
          <w:szCs w:val="24"/>
        </w:rPr>
        <w:t>“ се открояват натрупаните различия в интересите между държавите членки, затрудненията в процеса на вземане на решения и недоверието към готовността на кандидатите да спазват европейските стандарти. Разногласията по въпроси като върховенството на правото, миграцията и енергийната сигурност засилват усещането, че ЕС се нуждае първо от вътрешно „</w:t>
      </w:r>
      <w:r w:rsidRPr="004A1B79">
        <w:rPr>
          <w:rFonts w:ascii="Times New Roman" w:hAnsi="Times New Roman" w:cs="Times New Roman"/>
          <w:i/>
          <w:iCs/>
          <w:sz w:val="24"/>
          <w:szCs w:val="24"/>
        </w:rPr>
        <w:t>задълбочаване</w:t>
      </w:r>
      <w:r w:rsidRPr="00882132">
        <w:rPr>
          <w:rFonts w:ascii="Times New Roman" w:hAnsi="Times New Roman" w:cs="Times New Roman"/>
          <w:sz w:val="24"/>
          <w:szCs w:val="24"/>
        </w:rPr>
        <w:t>“, преди да приеме нови членове.</w:t>
      </w:r>
      <w:r w:rsidR="004A1B79">
        <w:rPr>
          <w:rFonts w:ascii="Times New Roman" w:hAnsi="Times New Roman" w:cs="Times New Roman"/>
          <w:sz w:val="24"/>
          <w:szCs w:val="24"/>
        </w:rPr>
        <w:t xml:space="preserve"> </w:t>
      </w:r>
      <w:r w:rsidRPr="00882132">
        <w:rPr>
          <w:rFonts w:ascii="Times New Roman" w:hAnsi="Times New Roman" w:cs="Times New Roman"/>
          <w:sz w:val="24"/>
          <w:szCs w:val="24"/>
        </w:rPr>
        <w:t>Някои западноевропейски държави, особено Франция и Нидерландия, изразяват позиция, че Съюзът трябва да се фокусира върху „</w:t>
      </w:r>
      <w:r w:rsidRPr="004A1B79">
        <w:rPr>
          <w:rFonts w:ascii="Times New Roman" w:hAnsi="Times New Roman" w:cs="Times New Roman"/>
          <w:i/>
          <w:iCs/>
          <w:sz w:val="24"/>
          <w:szCs w:val="24"/>
        </w:rPr>
        <w:t>по-малко, но по-ефективна</w:t>
      </w:r>
      <w:r w:rsidRPr="00882132">
        <w:rPr>
          <w:rFonts w:ascii="Times New Roman" w:hAnsi="Times New Roman" w:cs="Times New Roman"/>
          <w:sz w:val="24"/>
          <w:szCs w:val="24"/>
        </w:rPr>
        <w:t>“ интеграция.</w:t>
      </w:r>
    </w:p>
    <w:p w14:paraId="04998291" w14:textId="77777777" w:rsidR="00D925D7"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Икономическите фактори също играят важна роля. Разширяването от 2004</w:t>
      </w:r>
      <w:r w:rsidR="004A1B79">
        <w:rPr>
          <w:rFonts w:ascii="Times New Roman" w:hAnsi="Times New Roman" w:cs="Times New Roman"/>
          <w:sz w:val="24"/>
          <w:szCs w:val="24"/>
        </w:rPr>
        <w:t>-</w:t>
      </w:r>
      <w:r w:rsidRPr="00882132">
        <w:rPr>
          <w:rFonts w:ascii="Times New Roman" w:hAnsi="Times New Roman" w:cs="Times New Roman"/>
          <w:sz w:val="24"/>
          <w:szCs w:val="24"/>
        </w:rPr>
        <w:t>2007 г. доведе до значителни икономически дисбаланси между „</w:t>
      </w:r>
      <w:r w:rsidRPr="006267EF">
        <w:rPr>
          <w:rFonts w:ascii="Times New Roman" w:hAnsi="Times New Roman" w:cs="Times New Roman"/>
          <w:i/>
          <w:iCs/>
          <w:sz w:val="24"/>
          <w:szCs w:val="24"/>
        </w:rPr>
        <w:t>старата</w:t>
      </w:r>
      <w:r w:rsidRPr="00882132">
        <w:rPr>
          <w:rFonts w:ascii="Times New Roman" w:hAnsi="Times New Roman" w:cs="Times New Roman"/>
          <w:sz w:val="24"/>
          <w:szCs w:val="24"/>
        </w:rPr>
        <w:t>“ и „</w:t>
      </w:r>
      <w:r w:rsidRPr="006267EF">
        <w:rPr>
          <w:rFonts w:ascii="Times New Roman" w:hAnsi="Times New Roman" w:cs="Times New Roman"/>
          <w:i/>
          <w:iCs/>
          <w:sz w:val="24"/>
          <w:szCs w:val="24"/>
        </w:rPr>
        <w:t>новата</w:t>
      </w:r>
      <w:r w:rsidRPr="00882132">
        <w:rPr>
          <w:rFonts w:ascii="Times New Roman" w:hAnsi="Times New Roman" w:cs="Times New Roman"/>
          <w:sz w:val="24"/>
          <w:szCs w:val="24"/>
        </w:rPr>
        <w:t>“ Европа. Финансовата и дълговата криза от 2008 г. засили усещането, че ЕС не може да понесе нови социални и бюджетни тежести.</w:t>
      </w:r>
      <w:r w:rsidR="00DD0C4C">
        <w:rPr>
          <w:rStyle w:val="FootnoteReference"/>
          <w:rFonts w:ascii="Times New Roman" w:hAnsi="Times New Roman" w:cs="Times New Roman"/>
          <w:sz w:val="24"/>
          <w:szCs w:val="24"/>
        </w:rPr>
        <w:footnoteReference w:id="6"/>
      </w:r>
      <w:r w:rsidR="00955C77">
        <w:rPr>
          <w:rFonts w:ascii="Times New Roman" w:hAnsi="Times New Roman" w:cs="Times New Roman"/>
          <w:sz w:val="24"/>
          <w:szCs w:val="24"/>
        </w:rPr>
        <w:t xml:space="preserve"> </w:t>
      </w:r>
      <w:r w:rsidRPr="00882132">
        <w:rPr>
          <w:rFonts w:ascii="Times New Roman" w:hAnsi="Times New Roman" w:cs="Times New Roman"/>
          <w:sz w:val="24"/>
          <w:szCs w:val="24"/>
        </w:rPr>
        <w:t>Освен това, кризите в енергетиката и инфлацията след 2022 г. насочиха вниманието на държавите членки към икономическата устойчивост, а не към географското разширяване.</w:t>
      </w:r>
      <w:r w:rsidR="00766AF9">
        <w:rPr>
          <w:rFonts w:ascii="Times New Roman" w:hAnsi="Times New Roman" w:cs="Times New Roman"/>
          <w:sz w:val="24"/>
          <w:szCs w:val="24"/>
        </w:rPr>
        <w:t xml:space="preserve"> </w:t>
      </w:r>
      <w:r w:rsidRPr="00882132">
        <w:rPr>
          <w:rFonts w:ascii="Times New Roman" w:hAnsi="Times New Roman" w:cs="Times New Roman"/>
          <w:sz w:val="24"/>
          <w:szCs w:val="24"/>
        </w:rPr>
        <w:t xml:space="preserve">Социалните причини се свързват с промените в общественото мнение. В много страни членки гражданите възприемат новите разширявания като заплаха за трудовите пазари, социалните системи и националната идентичност. </w:t>
      </w:r>
      <w:r w:rsidR="00D925D7" w:rsidRPr="00D925D7">
        <w:rPr>
          <w:rFonts w:ascii="Times New Roman" w:hAnsi="Times New Roman" w:cs="Times New Roman"/>
          <w:sz w:val="24"/>
          <w:szCs w:val="24"/>
        </w:rPr>
        <w:t>Това се потвърждава и от последното проучване на Eurobarometer (</w:t>
      </w:r>
      <w:r w:rsidR="00D925D7" w:rsidRPr="00D925D7">
        <w:rPr>
          <w:rFonts w:ascii="Times New Roman" w:hAnsi="Times New Roman" w:cs="Times New Roman"/>
          <w:b/>
          <w:bCs/>
          <w:i/>
          <w:iCs/>
          <w:sz w:val="24"/>
          <w:szCs w:val="24"/>
        </w:rPr>
        <w:t xml:space="preserve">вж. Фигура </w:t>
      </w:r>
      <w:r w:rsidR="00D925D7">
        <w:rPr>
          <w:rFonts w:ascii="Times New Roman" w:hAnsi="Times New Roman" w:cs="Times New Roman"/>
          <w:b/>
          <w:bCs/>
          <w:i/>
          <w:iCs/>
          <w:sz w:val="24"/>
          <w:szCs w:val="24"/>
        </w:rPr>
        <w:t>1</w:t>
      </w:r>
      <w:r w:rsidR="00D925D7" w:rsidRPr="00D925D7">
        <w:rPr>
          <w:rFonts w:ascii="Times New Roman" w:hAnsi="Times New Roman" w:cs="Times New Roman"/>
          <w:sz w:val="24"/>
          <w:szCs w:val="24"/>
        </w:rPr>
        <w:t>)</w:t>
      </w:r>
      <w:r w:rsidR="00D925D7">
        <w:rPr>
          <w:rStyle w:val="FootnoteReference"/>
          <w:rFonts w:ascii="Times New Roman" w:hAnsi="Times New Roman" w:cs="Times New Roman"/>
          <w:sz w:val="24"/>
          <w:szCs w:val="24"/>
        </w:rPr>
        <w:footnoteReference w:id="7"/>
      </w:r>
      <w:r w:rsidR="00D925D7" w:rsidRPr="00D925D7">
        <w:rPr>
          <w:rFonts w:ascii="Times New Roman" w:hAnsi="Times New Roman" w:cs="Times New Roman"/>
          <w:sz w:val="24"/>
          <w:szCs w:val="24"/>
        </w:rPr>
        <w:t>, според което 40% от анкетираните изразяват тревога от неконтролирана миграция, 39% – от корупция и организирана престъпност, а 37% – от разходите за европейските данъкоплатци.</w:t>
      </w:r>
    </w:p>
    <w:p w14:paraId="1032A24F" w14:textId="77777777" w:rsidR="00882132" w:rsidRPr="00882132" w:rsidRDefault="00955C77" w:rsidP="001F47B2">
      <w:pPr>
        <w:spacing w:after="0" w:line="360" w:lineRule="auto"/>
        <w:jc w:val="both"/>
        <w:rPr>
          <w:rFonts w:ascii="Times New Roman" w:hAnsi="Times New Roman" w:cs="Times New Roman"/>
          <w:sz w:val="24"/>
          <w:szCs w:val="24"/>
        </w:rPr>
      </w:pPr>
      <w:r>
        <w:rPr>
          <w:noProof/>
          <w:lang w:eastAsia="bg-BG"/>
        </w:rPr>
        <w:lastRenderedPageBreak/>
        <w:drawing>
          <wp:anchor distT="0" distB="0" distL="114300" distR="114300" simplePos="0" relativeHeight="251660288" behindDoc="0" locked="0" layoutInCell="1" allowOverlap="1" wp14:anchorId="11EDF9D8" wp14:editId="45566122">
            <wp:simplePos x="0" y="0"/>
            <wp:positionH relativeFrom="column">
              <wp:posOffset>2614930</wp:posOffset>
            </wp:positionH>
            <wp:positionV relativeFrom="paragraph">
              <wp:posOffset>36195</wp:posOffset>
            </wp:positionV>
            <wp:extent cx="4025900" cy="2493645"/>
            <wp:effectExtent l="19050" t="0" r="0" b="0"/>
            <wp:wrapSquare wrapText="bothSides"/>
            <wp:docPr id="941826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26301" name="Picture 2"/>
                    <pic:cNvPicPr/>
                  </pic:nvPicPr>
                  <pic:blipFill rotWithShape="1">
                    <a:blip r:embed="rId9" cstate="print">
                      <a:extLst>
                        <a:ext uri="{28A0092B-C50C-407E-A947-70E740481C1C}">
                          <a14:useLocalDpi xmlns:a14="http://schemas.microsoft.com/office/drawing/2010/main" val="0"/>
                        </a:ext>
                      </a:extLst>
                    </a:blip>
                    <a:srcRect b="10762"/>
                    <a:stretch>
                      <a:fillRect/>
                    </a:stretch>
                  </pic:blipFill>
                  <pic:spPr bwMode="auto">
                    <a:xfrm>
                      <a:off x="0" y="0"/>
                      <a:ext cx="4025900" cy="2493645"/>
                    </a:xfrm>
                    <a:prstGeom prst="rect">
                      <a:avLst/>
                    </a:prstGeom>
                    <a:ln>
                      <a:noFill/>
                    </a:ln>
                    <a:extLst>
                      <a:ext uri="{53640926-AAD7-44D8-BBD7-CCE9431645EC}">
                        <a14:shadowObscured xmlns:a14="http://schemas.microsoft.com/office/drawing/2010/main"/>
                      </a:ext>
                    </a:extLst>
                  </pic:spPr>
                </pic:pic>
              </a:graphicData>
            </a:graphic>
          </wp:anchor>
        </w:drawing>
      </w:r>
      <w:r w:rsidR="007A3386">
        <w:rPr>
          <w:noProof/>
        </w:rPr>
        <mc:AlternateContent>
          <mc:Choice Requires="wps">
            <w:drawing>
              <wp:anchor distT="0" distB="0" distL="114300" distR="114300" simplePos="0" relativeHeight="251665408" behindDoc="0" locked="0" layoutInCell="1" allowOverlap="1" wp14:anchorId="36BB23FA" wp14:editId="445FED49">
                <wp:simplePos x="0" y="0"/>
                <wp:positionH relativeFrom="column">
                  <wp:posOffset>2840355</wp:posOffset>
                </wp:positionH>
                <wp:positionV relativeFrom="paragraph">
                  <wp:posOffset>2588260</wp:posOffset>
                </wp:positionV>
                <wp:extent cx="3799205" cy="405765"/>
                <wp:effectExtent l="0" t="0" r="0" b="0"/>
                <wp:wrapTopAndBottom/>
                <wp:docPr id="6056222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9920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299B2F" w14:textId="77777777" w:rsidR="00B153D7" w:rsidRPr="0081778E" w:rsidRDefault="00B153D7" w:rsidP="00B153D7">
                            <w:pPr>
                              <w:pStyle w:val="Caption"/>
                              <w:rPr>
                                <w:rFonts w:ascii="Times New Roman" w:hAnsi="Times New Roman" w:cs="Times New Roman"/>
                                <w:noProof/>
                                <w:sz w:val="24"/>
                                <w:szCs w:val="24"/>
                              </w:rPr>
                            </w:pPr>
                            <w:r>
                              <w:t xml:space="preserve">фигура </w:t>
                            </w:r>
                            <w:r>
                              <w:fldChar w:fldCharType="begin"/>
                            </w:r>
                            <w:r>
                              <w:instrText xml:space="preserve"> SEQ фигура \* ARABIC </w:instrText>
                            </w:r>
                            <w:r>
                              <w:fldChar w:fldCharType="separate"/>
                            </w:r>
                            <w:r>
                              <w:rPr>
                                <w:noProof/>
                              </w:rPr>
                              <w:t>1</w:t>
                            </w:r>
                            <w:r>
                              <w:rPr>
                                <w:noProof/>
                              </w:rPr>
                              <w:fldChar w:fldCharType="end"/>
                            </w:r>
                            <w:r>
                              <w:rPr>
                                <w:lang w:val="en-US"/>
                              </w:rPr>
                              <w:t xml:space="preserve">. </w:t>
                            </w:r>
                            <w:r>
                              <w:t xml:space="preserve">Основни притеснения на гражданите на ЕС относно бъдещо разширяване (%), февруари-март 2025. Източник: </w:t>
                            </w:r>
                            <w:r>
                              <w:rPr>
                                <w:lang w:val="en-US"/>
                              </w:rPr>
                              <w:t>European Commission, Eurobarometer Survey 2025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BB23FA" id="_x0000_t202" coordsize="21600,21600" o:spt="202" path="m,l,21600r21600,l21600,xe">
                <v:stroke joinstyle="miter"/>
                <v:path gradientshapeok="t" o:connecttype="rect"/>
              </v:shapetype>
              <v:shape id="Text Box 3" o:spid="_x0000_s1026" type="#_x0000_t202" style="position:absolute;left:0;text-align:left;margin-left:223.65pt;margin-top:203.8pt;width:299.15pt;height:3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" stroked="f">
                <v:path arrowok="t"/>
                <v:textbox style="mso-fit-shape-to-text:t" inset="0,0,0,0">
                  <w:txbxContent>
                    <w:p w14:paraId="79299B2F" w14:textId="77777777" w:rsidR="00B153D7" w:rsidRPr="0081778E" w:rsidRDefault="00B153D7" w:rsidP="00B153D7">
                      <w:pPr>
                        <w:pStyle w:val="Caption"/>
                        <w:rPr>
                          <w:rFonts w:ascii="Times New Roman" w:hAnsi="Times New Roman" w:cs="Times New Roman"/>
                          <w:noProof/>
                          <w:sz w:val="24"/>
                          <w:szCs w:val="24"/>
                        </w:rPr>
                      </w:pPr>
                      <w:r>
                        <w:t xml:space="preserve">фигура </w:t>
                      </w:r>
                      <w:r>
                        <w:fldChar w:fldCharType="begin"/>
                      </w:r>
                      <w:r>
                        <w:instrText xml:space="preserve"> SEQ фигура \* ARABIC </w:instrText>
                      </w:r>
                      <w:r>
                        <w:fldChar w:fldCharType="separate"/>
                      </w:r>
                      <w:r>
                        <w:rPr>
                          <w:noProof/>
                        </w:rPr>
                        <w:t>1</w:t>
                      </w:r>
                      <w:r>
                        <w:rPr>
                          <w:noProof/>
                        </w:rPr>
                        <w:fldChar w:fldCharType="end"/>
                      </w:r>
                      <w:r>
                        <w:rPr>
                          <w:lang w:val="en-US"/>
                        </w:rPr>
                        <w:t xml:space="preserve">. </w:t>
                      </w:r>
                      <w:r>
                        <w:t xml:space="preserve">Основни притеснения на гражданите на ЕС относно бъдещо разширяване (%), февруари-март 2025. Източник: </w:t>
                      </w:r>
                      <w:r>
                        <w:rPr>
                          <w:lang w:val="en-US"/>
                        </w:rPr>
                        <w:t>European Commission, Eurobarometer Survey 2025</w:t>
                      </w:r>
                    </w:p>
                  </w:txbxContent>
                </v:textbox>
                <w10:wrap type="topAndBottom"/>
              </v:shape>
            </w:pict>
          </mc:Fallback>
        </mc:AlternateContent>
      </w:r>
      <w:r w:rsidR="00882132" w:rsidRPr="00882132">
        <w:rPr>
          <w:rFonts w:ascii="Times New Roman" w:hAnsi="Times New Roman" w:cs="Times New Roman"/>
          <w:sz w:val="24"/>
          <w:szCs w:val="24"/>
        </w:rPr>
        <w:t>Този скептицизъм се засилва от вълните на миграция, както и от популистките партии, които използват темата за разширяването като аргумент срещу „</w:t>
      </w:r>
      <w:r w:rsidR="00882132" w:rsidRPr="006267EF">
        <w:rPr>
          <w:rFonts w:ascii="Times New Roman" w:hAnsi="Times New Roman" w:cs="Times New Roman"/>
          <w:i/>
          <w:iCs/>
          <w:sz w:val="24"/>
          <w:szCs w:val="24"/>
        </w:rPr>
        <w:t>прекалената интеграция</w:t>
      </w:r>
      <w:r w:rsidR="00882132" w:rsidRPr="00882132">
        <w:rPr>
          <w:rFonts w:ascii="Times New Roman" w:hAnsi="Times New Roman" w:cs="Times New Roman"/>
          <w:sz w:val="24"/>
          <w:szCs w:val="24"/>
        </w:rPr>
        <w:t>“. Така се формира политически натиск върху националните правителства да бъдат по-предпазливи по отношение на приемането на нови държави.</w:t>
      </w:r>
    </w:p>
    <w:p w14:paraId="01897BEE" w14:textId="77777777" w:rsidR="00882132" w:rsidRPr="00522DE3" w:rsidRDefault="00522DE3"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8" w:name="three_three"/>
      <w:r>
        <w:rPr>
          <w:rFonts w:ascii="Times New Roman" w:hAnsi="Times New Roman" w:cs="Times New Roman"/>
          <w:i/>
          <w:iCs/>
          <w:sz w:val="24"/>
          <w:szCs w:val="24"/>
        </w:rPr>
        <w:t xml:space="preserve"> </w:t>
      </w:r>
      <w:r w:rsidR="00882132" w:rsidRPr="00522DE3">
        <w:rPr>
          <w:rFonts w:ascii="Times New Roman" w:hAnsi="Times New Roman" w:cs="Times New Roman"/>
          <w:i/>
          <w:iCs/>
          <w:sz w:val="24"/>
          <w:szCs w:val="24"/>
          <w:u w:val="single"/>
        </w:rPr>
        <w:t>Примери от последните процеси на разширяване</w:t>
      </w:r>
    </w:p>
    <w:bookmarkEnd w:id="8"/>
    <w:p w14:paraId="12641B07" w14:textId="77777777" w:rsidR="00882132" w:rsidRPr="00882132"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Най-ясно проявленията на „</w:t>
      </w:r>
      <w:r w:rsidRPr="006267EF">
        <w:rPr>
          <w:rFonts w:ascii="Times New Roman" w:hAnsi="Times New Roman" w:cs="Times New Roman"/>
          <w:i/>
          <w:iCs/>
          <w:sz w:val="24"/>
          <w:szCs w:val="24"/>
        </w:rPr>
        <w:t>умората от разширяването</w:t>
      </w:r>
      <w:r w:rsidRPr="00882132">
        <w:rPr>
          <w:rFonts w:ascii="Times New Roman" w:hAnsi="Times New Roman" w:cs="Times New Roman"/>
          <w:sz w:val="24"/>
          <w:szCs w:val="24"/>
        </w:rPr>
        <w:t>“ се наблюдават в политиката на ЕС спрямо Западните Балкани.</w:t>
      </w:r>
      <w:r w:rsidR="00DB0B0C">
        <w:rPr>
          <w:rStyle w:val="FootnoteReference"/>
          <w:rFonts w:ascii="Times New Roman" w:hAnsi="Times New Roman" w:cs="Times New Roman"/>
          <w:sz w:val="24"/>
          <w:szCs w:val="24"/>
        </w:rPr>
        <w:footnoteReference w:id="8"/>
      </w:r>
      <w:r w:rsidRPr="00882132">
        <w:rPr>
          <w:rFonts w:ascii="Times New Roman" w:hAnsi="Times New Roman" w:cs="Times New Roman"/>
          <w:sz w:val="24"/>
          <w:szCs w:val="24"/>
        </w:rPr>
        <w:t xml:space="preserve"> Въпреки че още през 2003 г. в Солун беше призната тяхната „</w:t>
      </w:r>
      <w:r w:rsidRPr="006267EF">
        <w:rPr>
          <w:rFonts w:ascii="Times New Roman" w:hAnsi="Times New Roman" w:cs="Times New Roman"/>
          <w:i/>
          <w:iCs/>
          <w:sz w:val="24"/>
          <w:szCs w:val="24"/>
        </w:rPr>
        <w:t>европейска перспектива</w:t>
      </w:r>
      <w:r w:rsidRPr="00882132">
        <w:rPr>
          <w:rFonts w:ascii="Times New Roman" w:hAnsi="Times New Roman" w:cs="Times New Roman"/>
          <w:sz w:val="24"/>
          <w:szCs w:val="24"/>
        </w:rPr>
        <w:t>“, процесът на реално присъединяване върви изключително бавно. Северна Македония, Албания, Сърбия и Черна гора вече повече от десетилетие водят преговори или чакат тяхното начало, като се сблъскват с условия, свързани не само с реформи, но и с двустранни политически спорове. Това забавяне създава усещане за несигурност и подкопава доверието в обещанията на ЕС.</w:t>
      </w:r>
    </w:p>
    <w:p w14:paraId="256D8C8D" w14:textId="77777777" w:rsidR="00882132" w:rsidRPr="00882132" w:rsidRDefault="008931E0" w:rsidP="001F47B2">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bg-BG"/>
        </w:rPr>
        <w:drawing>
          <wp:anchor distT="0" distB="0" distL="114300" distR="114300" simplePos="0" relativeHeight="251661312" behindDoc="0" locked="0" layoutInCell="1" allowOverlap="1" wp14:anchorId="2F1EDD97" wp14:editId="4E27BC0D">
            <wp:simplePos x="0" y="0"/>
            <wp:positionH relativeFrom="column">
              <wp:posOffset>4311015</wp:posOffset>
            </wp:positionH>
            <wp:positionV relativeFrom="paragraph">
              <wp:posOffset>363220</wp:posOffset>
            </wp:positionV>
            <wp:extent cx="2119630" cy="2061210"/>
            <wp:effectExtent l="19050" t="0" r="0" b="0"/>
            <wp:wrapSquare wrapText="bothSides"/>
            <wp:docPr id="1204376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7668" name="Picture 1204376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9630" cy="2061210"/>
                    </a:xfrm>
                    <a:prstGeom prst="rect">
                      <a:avLst/>
                    </a:prstGeom>
                  </pic:spPr>
                </pic:pic>
              </a:graphicData>
            </a:graphic>
          </wp:anchor>
        </w:drawing>
      </w:r>
      <w:r w:rsidR="00882132" w:rsidRPr="00882132">
        <w:rPr>
          <w:rFonts w:ascii="Times New Roman" w:hAnsi="Times New Roman" w:cs="Times New Roman"/>
          <w:sz w:val="24"/>
          <w:szCs w:val="24"/>
        </w:rPr>
        <w:t>В случая с Турция, която кандидатства за членство още през 1987 г. и започва преговори през 2005 г., процесът на разширяване е практически замразен. Влошаването на върховенството на закона и авторитарните тенденции в страната доведоха до охлаждане на отношенията и до нарастваща съпротива в рамките на ЕС срещу турското членство.</w:t>
      </w:r>
    </w:p>
    <w:p w14:paraId="76B5B441" w14:textId="77777777" w:rsidR="00705899" w:rsidRDefault="007A3386" w:rsidP="001F47B2">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7456" behindDoc="0" locked="0" layoutInCell="1" allowOverlap="1" wp14:anchorId="65662286" wp14:editId="1A476CC9">
                <wp:simplePos x="0" y="0"/>
                <wp:positionH relativeFrom="column">
                  <wp:posOffset>4373245</wp:posOffset>
                </wp:positionH>
                <wp:positionV relativeFrom="paragraph">
                  <wp:posOffset>928370</wp:posOffset>
                </wp:positionV>
                <wp:extent cx="2153920" cy="545465"/>
                <wp:effectExtent l="0" t="0" r="0" b="0"/>
                <wp:wrapSquare wrapText="bothSides"/>
                <wp:docPr id="7759600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5392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E5847" w14:textId="77777777" w:rsidR="00B153D7" w:rsidRPr="00074FAD" w:rsidRDefault="00B153D7" w:rsidP="00B153D7">
                            <w:pPr>
                              <w:pStyle w:val="Caption"/>
                              <w:rPr>
                                <w:rFonts w:ascii="Times New Roman" w:hAnsi="Times New Roman" w:cs="Times New Roman"/>
                                <w:sz w:val="24"/>
                                <w:szCs w:val="24"/>
                              </w:rPr>
                            </w:pPr>
                            <w:r>
                              <w:t xml:space="preserve">фигура </w:t>
                            </w:r>
                            <w:r>
                              <w:fldChar w:fldCharType="begin"/>
                            </w:r>
                            <w:r>
                              <w:instrText xml:space="preserve"> SEQ фигура \* ARABIC </w:instrText>
                            </w:r>
                            <w:r>
                              <w:fldChar w:fldCharType="separate"/>
                            </w:r>
                            <w:r>
                              <w:rPr>
                                <w:noProof/>
                              </w:rPr>
                              <w:t>2</w:t>
                            </w:r>
                            <w:r>
                              <w:rPr>
                                <w:noProof/>
                              </w:rPr>
                              <w:fldChar w:fldCharType="end"/>
                            </w:r>
                            <w:r>
                              <w:rPr>
                                <w:lang w:val="en-US"/>
                              </w:rPr>
                              <w:t xml:space="preserve">. </w:t>
                            </w:r>
                            <w:r>
                              <w:t xml:space="preserve">Настоящи и потенциални кандидати за членство в ЕС (2022). Източник: </w:t>
                            </w:r>
                            <w:r>
                              <w:rPr>
                                <w:lang w:val="en-US"/>
                              </w:rPr>
                              <w:t xml:space="preserve">Statista, </w:t>
                            </w:r>
                            <w:r>
                              <w:t>2022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5662286" id="Text Box 4" o:spid="_x0000_s1027" type="#_x0000_t202" style="position:absolute;left:0;text-align:left;margin-left:344.35pt;margin-top:73.1pt;width:169.6pt;height:42.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" stroked="f">
                <v:path arrowok="t"/>
                <v:textbox style="mso-fit-shape-to-text:t" inset="0,0,0,0">
                  <w:txbxContent>
                    <w:p w14:paraId="6A6E5847" w14:textId="77777777" w:rsidR="00B153D7" w:rsidRPr="00074FAD" w:rsidRDefault="00B153D7" w:rsidP="00B153D7">
                      <w:pPr>
                        <w:pStyle w:val="Caption"/>
                        <w:rPr>
                          <w:rFonts w:ascii="Times New Roman" w:hAnsi="Times New Roman" w:cs="Times New Roman"/>
                          <w:sz w:val="24"/>
                          <w:szCs w:val="24"/>
                        </w:rPr>
                      </w:pPr>
                      <w:r>
                        <w:t xml:space="preserve">фигура </w:t>
                      </w:r>
                      <w:r>
                        <w:fldChar w:fldCharType="begin"/>
                      </w:r>
                      <w:r>
                        <w:instrText xml:space="preserve"> SEQ фигура \* ARABIC </w:instrText>
                      </w:r>
                      <w:r>
                        <w:fldChar w:fldCharType="separate"/>
                      </w:r>
                      <w:r>
                        <w:rPr>
                          <w:noProof/>
                        </w:rPr>
                        <w:t>2</w:t>
                      </w:r>
                      <w:r>
                        <w:rPr>
                          <w:noProof/>
                        </w:rPr>
                        <w:fldChar w:fldCharType="end"/>
                      </w:r>
                      <w:r>
                        <w:rPr>
                          <w:lang w:val="en-US"/>
                        </w:rPr>
                        <w:t xml:space="preserve">. </w:t>
                      </w:r>
                      <w:r>
                        <w:t xml:space="preserve">Настоящи и потенциални кандидати за членство в ЕС (2022). Източник: </w:t>
                      </w:r>
                      <w:r>
                        <w:rPr>
                          <w:lang w:val="en-US"/>
                        </w:rPr>
                        <w:t xml:space="preserve">Statista, </w:t>
                      </w:r>
                      <w:r>
                        <w:t>2022</w:t>
                      </w:r>
                    </w:p>
                  </w:txbxContent>
                </v:textbox>
                <w10:wrap type="square"/>
              </v:shape>
            </w:pict>
          </mc:Fallback>
        </mc:AlternateContent>
      </w:r>
      <w:r w:rsidR="00882132" w:rsidRPr="00882132">
        <w:rPr>
          <w:rFonts w:ascii="Times New Roman" w:hAnsi="Times New Roman" w:cs="Times New Roman"/>
          <w:sz w:val="24"/>
          <w:szCs w:val="24"/>
        </w:rPr>
        <w:t>След 2022 г. на дневен ред излизат Украйна и Молдова, които получиха статут на кандидатки за членство.</w:t>
      </w:r>
      <w:r w:rsidR="00203AA4">
        <w:rPr>
          <w:rStyle w:val="FootnoteReference"/>
          <w:rFonts w:ascii="Times New Roman" w:hAnsi="Times New Roman" w:cs="Times New Roman"/>
          <w:sz w:val="24"/>
          <w:szCs w:val="24"/>
        </w:rPr>
        <w:footnoteReference w:id="9"/>
      </w:r>
      <w:r w:rsidR="00882132" w:rsidRPr="00882132">
        <w:rPr>
          <w:rFonts w:ascii="Times New Roman" w:hAnsi="Times New Roman" w:cs="Times New Roman"/>
          <w:sz w:val="24"/>
          <w:szCs w:val="24"/>
        </w:rPr>
        <w:t xml:space="preserve"> Макар политическата воля за подкрепа да е силна, процесът ще изисква дълбоки институционални и икономически промени. </w:t>
      </w:r>
    </w:p>
    <w:p w14:paraId="33D11E8F" w14:textId="77777777" w:rsidR="00882132" w:rsidRPr="00882132" w:rsidRDefault="00705899" w:rsidP="001F47B2">
      <w:pPr>
        <w:spacing w:after="0" w:line="360" w:lineRule="auto"/>
        <w:jc w:val="both"/>
        <w:rPr>
          <w:rFonts w:ascii="Times New Roman" w:hAnsi="Times New Roman" w:cs="Times New Roman"/>
          <w:sz w:val="24"/>
          <w:szCs w:val="24"/>
        </w:rPr>
      </w:pPr>
      <w:r w:rsidRPr="00705899">
        <w:rPr>
          <w:rFonts w:ascii="Times New Roman" w:hAnsi="Times New Roman" w:cs="Times New Roman"/>
          <w:sz w:val="24"/>
          <w:szCs w:val="24"/>
        </w:rPr>
        <w:t xml:space="preserve">Както се вижда на </w:t>
      </w:r>
      <w:r w:rsidRPr="00705899">
        <w:rPr>
          <w:rFonts w:ascii="Times New Roman" w:hAnsi="Times New Roman" w:cs="Times New Roman"/>
          <w:b/>
          <w:bCs/>
          <w:i/>
          <w:iCs/>
          <w:sz w:val="24"/>
          <w:szCs w:val="24"/>
        </w:rPr>
        <w:t xml:space="preserve">Фигура </w:t>
      </w:r>
      <w:r>
        <w:rPr>
          <w:rFonts w:ascii="Times New Roman" w:hAnsi="Times New Roman" w:cs="Times New Roman"/>
          <w:b/>
          <w:bCs/>
          <w:i/>
          <w:iCs/>
          <w:sz w:val="24"/>
          <w:szCs w:val="24"/>
        </w:rPr>
        <w:t>2</w:t>
      </w:r>
      <w:r w:rsidRPr="00705899">
        <w:rPr>
          <w:rFonts w:ascii="Times New Roman" w:hAnsi="Times New Roman" w:cs="Times New Roman"/>
          <w:sz w:val="24"/>
          <w:szCs w:val="24"/>
        </w:rPr>
        <w:t xml:space="preserve">, картата на Европа ясно показва разширеното географско измерение на процеса </w:t>
      </w:r>
      <w:r>
        <w:rPr>
          <w:rFonts w:ascii="Times New Roman" w:hAnsi="Times New Roman" w:cs="Times New Roman"/>
          <w:sz w:val="24"/>
          <w:szCs w:val="24"/>
        </w:rPr>
        <w:t>-</w:t>
      </w:r>
      <w:r w:rsidRPr="00705899">
        <w:rPr>
          <w:rFonts w:ascii="Times New Roman" w:hAnsi="Times New Roman" w:cs="Times New Roman"/>
          <w:sz w:val="24"/>
          <w:szCs w:val="24"/>
        </w:rPr>
        <w:t xml:space="preserve"> от Балканите до Източното партньорство, което подчертава стратегическата дълбочина на бъдещото разширяване.</w:t>
      </w:r>
      <w:r>
        <w:rPr>
          <w:rFonts w:ascii="Times New Roman" w:hAnsi="Times New Roman" w:cs="Times New Roman"/>
          <w:sz w:val="24"/>
          <w:szCs w:val="24"/>
        </w:rPr>
        <w:t xml:space="preserve"> </w:t>
      </w:r>
      <w:r w:rsidR="00882132" w:rsidRPr="00882132">
        <w:rPr>
          <w:rFonts w:ascii="Times New Roman" w:hAnsi="Times New Roman" w:cs="Times New Roman"/>
          <w:sz w:val="24"/>
          <w:szCs w:val="24"/>
        </w:rPr>
        <w:t>В този контекст отново се поставя въпросът дали ЕС има капацитет да интегрира нови държави, без да отслаби вътрешната си кохезия.</w:t>
      </w:r>
    </w:p>
    <w:p w14:paraId="788E1642" w14:textId="77777777" w:rsidR="00882132" w:rsidRPr="00522DE3" w:rsidRDefault="00522DE3"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9" w:name="three_four"/>
      <w:r>
        <w:rPr>
          <w:rFonts w:ascii="Times New Roman" w:hAnsi="Times New Roman" w:cs="Times New Roman"/>
          <w:i/>
          <w:iCs/>
          <w:sz w:val="24"/>
          <w:szCs w:val="24"/>
        </w:rPr>
        <w:lastRenderedPageBreak/>
        <w:t xml:space="preserve"> </w:t>
      </w:r>
      <w:r w:rsidR="00882132" w:rsidRPr="00522DE3">
        <w:rPr>
          <w:rFonts w:ascii="Times New Roman" w:hAnsi="Times New Roman" w:cs="Times New Roman"/>
          <w:i/>
          <w:iCs/>
          <w:sz w:val="24"/>
          <w:szCs w:val="24"/>
          <w:u w:val="single"/>
        </w:rPr>
        <w:t>Обществено мнение и позициите на държавите членки</w:t>
      </w:r>
    </w:p>
    <w:bookmarkEnd w:id="9"/>
    <w:p w14:paraId="7DF8D8A9" w14:textId="77777777" w:rsidR="005969D5"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 xml:space="preserve">Общественото мнение е решаващ фактор за политическите решения относно разширяването. Според данни от </w:t>
      </w:r>
      <w:r w:rsidRPr="00927708">
        <w:rPr>
          <w:rFonts w:ascii="Times New Roman" w:hAnsi="Times New Roman" w:cs="Times New Roman"/>
          <w:i/>
          <w:iCs/>
          <w:sz w:val="24"/>
          <w:szCs w:val="24"/>
        </w:rPr>
        <w:t>Eurobarometer</w:t>
      </w:r>
      <w:r w:rsidRPr="00882132">
        <w:rPr>
          <w:rFonts w:ascii="Times New Roman" w:hAnsi="Times New Roman" w:cs="Times New Roman"/>
          <w:sz w:val="24"/>
          <w:szCs w:val="24"/>
        </w:rPr>
        <w:t xml:space="preserve"> (2023), едва около половината от гражданите на ЕС подкрепят бъдещи разширявания, като подкрепата е най-висока в Източна Европа и най-ниска в Западна и Северна Европа.</w:t>
      </w:r>
      <w:r w:rsidR="00927708">
        <w:rPr>
          <w:rFonts w:ascii="Times New Roman" w:hAnsi="Times New Roman" w:cs="Times New Roman"/>
          <w:sz w:val="24"/>
          <w:szCs w:val="24"/>
        </w:rPr>
        <w:t xml:space="preserve"> </w:t>
      </w:r>
      <w:r w:rsidRPr="00882132">
        <w:rPr>
          <w:rFonts w:ascii="Times New Roman" w:hAnsi="Times New Roman" w:cs="Times New Roman"/>
          <w:sz w:val="24"/>
          <w:szCs w:val="24"/>
        </w:rPr>
        <w:t>В страни като Германия, Франция и Нидерландия мнозинството от анкетираните</w:t>
      </w:r>
      <w:r w:rsidR="00522DE3">
        <w:rPr>
          <w:rFonts w:ascii="Times New Roman" w:hAnsi="Times New Roman" w:cs="Times New Roman"/>
          <w:sz w:val="24"/>
          <w:szCs w:val="24"/>
        </w:rPr>
        <w:t xml:space="preserve"> </w:t>
      </w:r>
      <w:r w:rsidRPr="00882132">
        <w:rPr>
          <w:rFonts w:ascii="Times New Roman" w:hAnsi="Times New Roman" w:cs="Times New Roman"/>
          <w:sz w:val="24"/>
          <w:szCs w:val="24"/>
        </w:rPr>
        <w:t>изразяват резерви относно приемането на нови членове, докато в Полша, Румъния и България се наблюдава значително по-голяма подкрепа</w:t>
      </w:r>
      <w:r w:rsidR="000554A6">
        <w:rPr>
          <w:rFonts w:ascii="Times New Roman" w:hAnsi="Times New Roman" w:cs="Times New Roman"/>
          <w:sz w:val="24"/>
          <w:szCs w:val="24"/>
        </w:rPr>
        <w:t xml:space="preserve"> (</w:t>
      </w:r>
      <w:r w:rsidR="000554A6" w:rsidRPr="000554A6">
        <w:rPr>
          <w:rFonts w:ascii="Times New Roman" w:hAnsi="Times New Roman" w:cs="Times New Roman"/>
          <w:b/>
          <w:bCs/>
          <w:i/>
          <w:iCs/>
          <w:sz w:val="24"/>
          <w:szCs w:val="24"/>
        </w:rPr>
        <w:t>вж</w:t>
      </w:r>
      <w:r w:rsidR="00D925D7">
        <w:rPr>
          <w:rFonts w:ascii="Times New Roman" w:hAnsi="Times New Roman" w:cs="Times New Roman"/>
          <w:b/>
          <w:bCs/>
          <w:i/>
          <w:iCs/>
          <w:sz w:val="24"/>
          <w:szCs w:val="24"/>
        </w:rPr>
        <w:t>.</w:t>
      </w:r>
      <w:r w:rsidR="000554A6" w:rsidRPr="000554A6">
        <w:rPr>
          <w:rFonts w:ascii="Times New Roman" w:hAnsi="Times New Roman" w:cs="Times New Roman"/>
          <w:b/>
          <w:bCs/>
          <w:i/>
          <w:iCs/>
          <w:sz w:val="24"/>
          <w:szCs w:val="24"/>
        </w:rPr>
        <w:t xml:space="preserve"> </w:t>
      </w:r>
      <w:r w:rsidR="00D925D7">
        <w:rPr>
          <w:rFonts w:ascii="Times New Roman" w:hAnsi="Times New Roman" w:cs="Times New Roman"/>
          <w:b/>
          <w:bCs/>
          <w:i/>
          <w:iCs/>
          <w:sz w:val="24"/>
          <w:szCs w:val="24"/>
        </w:rPr>
        <w:t>Ф</w:t>
      </w:r>
      <w:r w:rsidR="000554A6" w:rsidRPr="000554A6">
        <w:rPr>
          <w:rFonts w:ascii="Times New Roman" w:hAnsi="Times New Roman" w:cs="Times New Roman"/>
          <w:b/>
          <w:bCs/>
          <w:i/>
          <w:iCs/>
          <w:sz w:val="24"/>
          <w:szCs w:val="24"/>
        </w:rPr>
        <w:t>игура 3</w:t>
      </w:r>
      <w:r w:rsidR="000554A6">
        <w:rPr>
          <w:rFonts w:ascii="Times New Roman" w:hAnsi="Times New Roman" w:cs="Times New Roman"/>
          <w:sz w:val="24"/>
          <w:szCs w:val="24"/>
        </w:rPr>
        <w:t>)</w:t>
      </w:r>
      <w:r w:rsidRPr="00882132">
        <w:rPr>
          <w:rFonts w:ascii="Times New Roman" w:hAnsi="Times New Roman" w:cs="Times New Roman"/>
          <w:sz w:val="24"/>
          <w:szCs w:val="24"/>
        </w:rPr>
        <w:t>.</w:t>
      </w:r>
      <w:r w:rsidR="005969D5">
        <w:rPr>
          <w:rFonts w:ascii="Times New Roman" w:hAnsi="Times New Roman" w:cs="Times New Roman"/>
          <w:sz w:val="24"/>
          <w:szCs w:val="24"/>
        </w:rPr>
        <w:t xml:space="preserve"> </w:t>
      </w:r>
      <w:r w:rsidR="00BB70DE">
        <w:rPr>
          <w:rStyle w:val="FootnoteReference"/>
          <w:rFonts w:ascii="Times New Roman" w:hAnsi="Times New Roman" w:cs="Times New Roman"/>
          <w:sz w:val="24"/>
          <w:szCs w:val="24"/>
        </w:rPr>
        <w:footnoteReference w:id="10"/>
      </w:r>
    </w:p>
    <w:p w14:paraId="4E9CC0CE" w14:textId="77777777" w:rsidR="0089067A" w:rsidRPr="006869DA" w:rsidRDefault="007A3386" w:rsidP="001F47B2">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0" locked="0" layoutInCell="1" allowOverlap="1" wp14:anchorId="41252965" wp14:editId="49B1E161">
                <wp:simplePos x="0" y="0"/>
                <wp:positionH relativeFrom="column">
                  <wp:posOffset>965835</wp:posOffset>
                </wp:positionH>
                <wp:positionV relativeFrom="paragraph">
                  <wp:posOffset>2465070</wp:posOffset>
                </wp:positionV>
                <wp:extent cx="4659630" cy="405765"/>
                <wp:effectExtent l="0" t="0" r="0" b="0"/>
                <wp:wrapTopAndBottom/>
                <wp:docPr id="479157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59630"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DD8CE" w14:textId="77777777" w:rsidR="00135764" w:rsidRPr="00135764" w:rsidRDefault="00135764" w:rsidP="00135764">
                            <w:pPr>
                              <w:pStyle w:val="Caption"/>
                              <w:rPr>
                                <w:lang w:val="en-US"/>
                              </w:rPr>
                            </w:pPr>
                            <w:r>
                              <w:t xml:space="preserve">фигура </w:t>
                            </w:r>
                            <w:r>
                              <w:rPr>
                                <w:lang w:val="en-US"/>
                              </w:rPr>
                              <w:t xml:space="preserve">3. </w:t>
                            </w:r>
                            <w:r>
                              <w:t xml:space="preserve">Обществена подкрепа за бъдещото разширяване на ЕС по държави членки (%), февруари-март 2025. Източник </w:t>
                            </w:r>
                            <w:r>
                              <w:rPr>
                                <w:lang w:val="en-US"/>
                              </w:rPr>
                              <w:t>European Commission, Eurobarometer Survey 2025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252965" id="Text Box 2" o:spid="_x0000_s1028" type="#_x0000_t202" style="position:absolute;left:0;text-align:left;margin-left:76.05pt;margin-top:194.1pt;width:366.9pt;height:3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" stroked="f">
                <v:path arrowok="t"/>
                <v:textbox style="mso-fit-shape-to-text:t" inset="0,0,0,0">
                  <w:txbxContent>
                    <w:p w14:paraId="21ADD8CE" w14:textId="77777777" w:rsidR="00135764" w:rsidRPr="00135764" w:rsidRDefault="00135764" w:rsidP="00135764">
                      <w:pPr>
                        <w:pStyle w:val="Caption"/>
                        <w:rPr>
                          <w:lang w:val="en-US"/>
                        </w:rPr>
                      </w:pPr>
                      <w:r>
                        <w:t xml:space="preserve">фигура </w:t>
                      </w:r>
                      <w:r>
                        <w:rPr>
                          <w:lang w:val="en-US"/>
                        </w:rPr>
                        <w:t xml:space="preserve">3. </w:t>
                      </w:r>
                      <w:r>
                        <w:t xml:space="preserve">Обществена подкрепа за бъдещото разширяване на ЕС по държави членки (%), февруари-март 2025. Източник </w:t>
                      </w:r>
                      <w:r>
                        <w:rPr>
                          <w:lang w:val="en-US"/>
                        </w:rPr>
                        <w:t>European Commission, Eurobarometer Survey 2025</w:t>
                      </w:r>
                    </w:p>
                  </w:txbxContent>
                </v:textbox>
                <w10:wrap type="topAndBottom"/>
              </v:shape>
            </w:pict>
          </mc:Fallback>
        </mc:AlternateContent>
      </w:r>
      <w:r w:rsidR="007E7432">
        <w:rPr>
          <w:noProof/>
          <w:lang w:eastAsia="bg-BG"/>
        </w:rPr>
        <w:drawing>
          <wp:anchor distT="0" distB="0" distL="114300" distR="114300" simplePos="0" relativeHeight="251659264" behindDoc="0" locked="0" layoutInCell="1" allowOverlap="1" wp14:anchorId="48203056" wp14:editId="15EB34E0">
            <wp:simplePos x="0" y="0"/>
            <wp:positionH relativeFrom="column">
              <wp:posOffset>960755</wp:posOffset>
            </wp:positionH>
            <wp:positionV relativeFrom="paragraph">
              <wp:posOffset>90170</wp:posOffset>
            </wp:positionV>
            <wp:extent cx="4651375" cy="2298065"/>
            <wp:effectExtent l="19050" t="0" r="0" b="0"/>
            <wp:wrapTopAndBottom/>
            <wp:docPr id="187354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43836" name="Picture 18735438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51375" cy="2298065"/>
                    </a:xfrm>
                    <a:prstGeom prst="rect">
                      <a:avLst/>
                    </a:prstGeom>
                  </pic:spPr>
                </pic:pic>
              </a:graphicData>
            </a:graphic>
          </wp:anchor>
        </w:drawing>
      </w:r>
      <w:r w:rsidR="00882132" w:rsidRPr="00882132">
        <w:rPr>
          <w:rFonts w:ascii="Times New Roman" w:hAnsi="Times New Roman" w:cs="Times New Roman"/>
          <w:sz w:val="24"/>
          <w:szCs w:val="24"/>
        </w:rPr>
        <w:t xml:space="preserve">Политическите елити на държавите членки често балансират между стратегическите интереси и вътрешнополитическите настроения. Докато страни като Полша и балтийските държави активно подкрепят разширяването към Украйна и Молдова, други </w:t>
      </w:r>
      <w:r w:rsidR="002712AF">
        <w:rPr>
          <w:rFonts w:ascii="Times New Roman" w:hAnsi="Times New Roman" w:cs="Times New Roman"/>
          <w:sz w:val="24"/>
          <w:szCs w:val="24"/>
        </w:rPr>
        <w:t>-</w:t>
      </w:r>
      <w:r w:rsidR="00882132" w:rsidRPr="00882132">
        <w:rPr>
          <w:rFonts w:ascii="Times New Roman" w:hAnsi="Times New Roman" w:cs="Times New Roman"/>
          <w:sz w:val="24"/>
          <w:szCs w:val="24"/>
        </w:rPr>
        <w:t xml:space="preserve"> например Франция и Австрия </w:t>
      </w:r>
      <w:r w:rsidR="002712AF">
        <w:rPr>
          <w:rFonts w:ascii="Times New Roman" w:hAnsi="Times New Roman" w:cs="Times New Roman"/>
          <w:sz w:val="24"/>
          <w:szCs w:val="24"/>
        </w:rPr>
        <w:t>-</w:t>
      </w:r>
      <w:r w:rsidR="00882132" w:rsidRPr="00882132">
        <w:rPr>
          <w:rFonts w:ascii="Times New Roman" w:hAnsi="Times New Roman" w:cs="Times New Roman"/>
          <w:sz w:val="24"/>
          <w:szCs w:val="24"/>
        </w:rPr>
        <w:t xml:space="preserve"> настояват за „</w:t>
      </w:r>
      <w:r w:rsidR="00882132" w:rsidRPr="002712AF">
        <w:rPr>
          <w:rFonts w:ascii="Times New Roman" w:hAnsi="Times New Roman" w:cs="Times New Roman"/>
          <w:i/>
          <w:iCs/>
          <w:sz w:val="24"/>
          <w:szCs w:val="24"/>
        </w:rPr>
        <w:t>поетапна интеграция</w:t>
      </w:r>
      <w:r w:rsidR="00882132" w:rsidRPr="00882132">
        <w:rPr>
          <w:rFonts w:ascii="Times New Roman" w:hAnsi="Times New Roman" w:cs="Times New Roman"/>
          <w:sz w:val="24"/>
          <w:szCs w:val="24"/>
        </w:rPr>
        <w:t>“ или „</w:t>
      </w:r>
      <w:r w:rsidR="00882132" w:rsidRPr="002712AF">
        <w:rPr>
          <w:rFonts w:ascii="Times New Roman" w:hAnsi="Times New Roman" w:cs="Times New Roman"/>
          <w:i/>
          <w:iCs/>
          <w:sz w:val="24"/>
          <w:szCs w:val="24"/>
        </w:rPr>
        <w:t>Европа на няколко скорости</w:t>
      </w:r>
      <w:r w:rsidR="00882132" w:rsidRPr="00882132">
        <w:rPr>
          <w:rFonts w:ascii="Times New Roman" w:hAnsi="Times New Roman" w:cs="Times New Roman"/>
          <w:sz w:val="24"/>
          <w:szCs w:val="24"/>
        </w:rPr>
        <w:t>“.</w:t>
      </w:r>
      <w:r w:rsidR="002712AF">
        <w:rPr>
          <w:rFonts w:ascii="Times New Roman" w:hAnsi="Times New Roman" w:cs="Times New Roman"/>
          <w:sz w:val="24"/>
          <w:szCs w:val="24"/>
        </w:rPr>
        <w:t xml:space="preserve"> </w:t>
      </w:r>
      <w:r w:rsidR="00882132" w:rsidRPr="00882132">
        <w:rPr>
          <w:rFonts w:ascii="Times New Roman" w:hAnsi="Times New Roman" w:cs="Times New Roman"/>
          <w:sz w:val="24"/>
          <w:szCs w:val="24"/>
        </w:rPr>
        <w:t>Тези различия правят процеса на разширяване не просто технически, а дълбоко политически въпрос, който засяга бъдещата архитектура на Съюза.</w:t>
      </w:r>
      <w:r w:rsidR="003130D5">
        <w:rPr>
          <w:rStyle w:val="FootnoteReference"/>
          <w:rFonts w:ascii="Times New Roman" w:hAnsi="Times New Roman" w:cs="Times New Roman"/>
          <w:sz w:val="24"/>
          <w:szCs w:val="24"/>
        </w:rPr>
        <w:footnoteReference w:id="11"/>
      </w:r>
    </w:p>
    <w:p w14:paraId="6E9D90F3" w14:textId="77777777" w:rsidR="00882132" w:rsidRPr="004B5DAA" w:rsidRDefault="00882132" w:rsidP="001F47B2">
      <w:pPr>
        <w:spacing w:after="0" w:line="360" w:lineRule="auto"/>
        <w:jc w:val="both"/>
        <w:rPr>
          <w:rFonts w:ascii="Times New Roman" w:hAnsi="Times New Roman" w:cs="Times New Roman"/>
          <w:sz w:val="24"/>
          <w:szCs w:val="24"/>
        </w:rPr>
      </w:pPr>
      <w:r w:rsidRPr="00882132">
        <w:rPr>
          <w:rFonts w:ascii="Times New Roman" w:hAnsi="Times New Roman" w:cs="Times New Roman"/>
          <w:sz w:val="24"/>
          <w:szCs w:val="24"/>
        </w:rPr>
        <w:t>В заключение, „</w:t>
      </w:r>
      <w:r w:rsidRPr="002712AF">
        <w:rPr>
          <w:rFonts w:ascii="Times New Roman" w:hAnsi="Times New Roman" w:cs="Times New Roman"/>
          <w:i/>
          <w:iCs/>
          <w:sz w:val="24"/>
          <w:szCs w:val="24"/>
        </w:rPr>
        <w:t>умората от разширяването</w:t>
      </w:r>
      <w:r w:rsidRPr="00882132">
        <w:rPr>
          <w:rFonts w:ascii="Times New Roman" w:hAnsi="Times New Roman" w:cs="Times New Roman"/>
          <w:sz w:val="24"/>
          <w:szCs w:val="24"/>
        </w:rPr>
        <w:t xml:space="preserve">“ е сложен феномен, произтичащ от взаимодействието между политически, икономически и обществени фактори. Тя не означава отказ от разширяване, а сигнализира за необходимостта от нов подход </w:t>
      </w:r>
      <w:r w:rsidR="002712AF">
        <w:rPr>
          <w:rFonts w:ascii="Times New Roman" w:hAnsi="Times New Roman" w:cs="Times New Roman"/>
          <w:sz w:val="24"/>
          <w:szCs w:val="24"/>
        </w:rPr>
        <w:t>-</w:t>
      </w:r>
      <w:r w:rsidRPr="00882132">
        <w:rPr>
          <w:rFonts w:ascii="Times New Roman" w:hAnsi="Times New Roman" w:cs="Times New Roman"/>
          <w:sz w:val="24"/>
          <w:szCs w:val="24"/>
        </w:rPr>
        <w:t xml:space="preserve"> по-гъвкав, по-постепенен и по-съобразен с реалностите на XXI век. В следващата глава ще бъде разгледано как това напрежение между разширяването и задълбочаването на интеграцията влияе върху бъдещето на Европейския съюз.</w:t>
      </w:r>
    </w:p>
    <w:p w14:paraId="2DCEAC9F" w14:textId="77777777" w:rsidR="00B661B6" w:rsidRDefault="00DD0735" w:rsidP="001F47B2">
      <w:pPr>
        <w:pStyle w:val="ListParagraph"/>
        <w:numPr>
          <w:ilvl w:val="0"/>
          <w:numId w:val="4"/>
        </w:numPr>
        <w:spacing w:before="240" w:after="0" w:line="360" w:lineRule="auto"/>
        <w:ind w:firstLine="0"/>
        <w:jc w:val="both"/>
        <w:rPr>
          <w:rFonts w:ascii="Times New Roman" w:hAnsi="Times New Roman" w:cs="Times New Roman"/>
          <w:b/>
          <w:bCs/>
          <w:sz w:val="28"/>
          <w:szCs w:val="28"/>
        </w:rPr>
      </w:pPr>
      <w:bookmarkStart w:id="10" w:name="four"/>
      <w:r w:rsidRPr="00DD0735">
        <w:rPr>
          <w:rFonts w:ascii="Times New Roman" w:hAnsi="Times New Roman" w:cs="Times New Roman"/>
          <w:b/>
          <w:bCs/>
          <w:sz w:val="28"/>
          <w:szCs w:val="28"/>
        </w:rPr>
        <w:t>Напрежение между разширяване и задълбочаване на интеграцията</w:t>
      </w:r>
    </w:p>
    <w:p w14:paraId="6CC10A47" w14:textId="77777777" w:rsidR="00460BEA" w:rsidRPr="00522DE3" w:rsidRDefault="00522DE3"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1" w:name="four_one"/>
      <w:bookmarkEnd w:id="10"/>
      <w:r>
        <w:rPr>
          <w:rFonts w:ascii="Times New Roman" w:hAnsi="Times New Roman" w:cs="Times New Roman"/>
          <w:i/>
          <w:iCs/>
          <w:sz w:val="24"/>
          <w:szCs w:val="24"/>
        </w:rPr>
        <w:t xml:space="preserve"> </w:t>
      </w:r>
      <w:r w:rsidR="00460BEA" w:rsidRPr="00522DE3">
        <w:rPr>
          <w:rFonts w:ascii="Times New Roman" w:hAnsi="Times New Roman" w:cs="Times New Roman"/>
          <w:i/>
          <w:iCs/>
          <w:sz w:val="24"/>
          <w:szCs w:val="24"/>
          <w:u w:val="single"/>
        </w:rPr>
        <w:t>Теоретичен аспект</w:t>
      </w:r>
      <w:r w:rsidR="00B57937" w:rsidRPr="00522DE3">
        <w:rPr>
          <w:rFonts w:ascii="Times New Roman" w:hAnsi="Times New Roman" w:cs="Times New Roman"/>
          <w:i/>
          <w:iCs/>
          <w:sz w:val="24"/>
          <w:szCs w:val="24"/>
          <w:u w:val="single"/>
        </w:rPr>
        <w:t xml:space="preserve"> - </w:t>
      </w:r>
      <w:r w:rsidR="00460BEA" w:rsidRPr="00522DE3">
        <w:rPr>
          <w:rFonts w:ascii="Times New Roman" w:hAnsi="Times New Roman" w:cs="Times New Roman"/>
          <w:i/>
          <w:iCs/>
          <w:sz w:val="24"/>
          <w:szCs w:val="24"/>
          <w:u w:val="single"/>
        </w:rPr>
        <w:t>разширяване срещу интеграционно задълбочаване</w:t>
      </w:r>
    </w:p>
    <w:bookmarkEnd w:id="11"/>
    <w:p w14:paraId="44B440AD"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 xml:space="preserve">Един от основните дебати в процеса на европейската интеграция е въпросът дали Европейският съюз трябва да се стреми към разширяване (увеличаване на броя на държавите членки) или към </w:t>
      </w:r>
      <w:r w:rsidRPr="00460BEA">
        <w:rPr>
          <w:rFonts w:ascii="Times New Roman" w:hAnsi="Times New Roman" w:cs="Times New Roman"/>
          <w:sz w:val="24"/>
          <w:szCs w:val="24"/>
        </w:rPr>
        <w:lastRenderedPageBreak/>
        <w:t xml:space="preserve">задълбочаване (повишаване на степента на интеграция между тях). Този дебат не е нов </w:t>
      </w:r>
      <w:r w:rsidR="00B57937">
        <w:rPr>
          <w:rFonts w:ascii="Times New Roman" w:hAnsi="Times New Roman" w:cs="Times New Roman"/>
          <w:sz w:val="24"/>
          <w:szCs w:val="24"/>
        </w:rPr>
        <w:t>-</w:t>
      </w:r>
      <w:r w:rsidRPr="00460BEA">
        <w:rPr>
          <w:rFonts w:ascii="Times New Roman" w:hAnsi="Times New Roman" w:cs="Times New Roman"/>
          <w:sz w:val="24"/>
          <w:szCs w:val="24"/>
        </w:rPr>
        <w:t xml:space="preserve"> още през 70-те години на ХХ век се поставя въпросът дали институциите на ЕИО могат да функционират ефективно в рамките на нарастващ брой членове.</w:t>
      </w:r>
      <w:r w:rsidR="007A0290">
        <w:rPr>
          <w:rStyle w:val="FootnoteReference"/>
          <w:rFonts w:ascii="Times New Roman" w:hAnsi="Times New Roman" w:cs="Times New Roman"/>
          <w:sz w:val="24"/>
          <w:szCs w:val="24"/>
        </w:rPr>
        <w:footnoteReference w:id="12"/>
      </w:r>
    </w:p>
    <w:p w14:paraId="5222027D"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Теоретично, двата процеса имат различни логики</w:t>
      </w:r>
      <w:r w:rsidR="00F770BE">
        <w:rPr>
          <w:rFonts w:ascii="Times New Roman" w:hAnsi="Times New Roman" w:cs="Times New Roman"/>
          <w:sz w:val="24"/>
          <w:szCs w:val="24"/>
        </w:rPr>
        <w:t>:</w:t>
      </w:r>
    </w:p>
    <w:p w14:paraId="7DC666D9" w14:textId="77777777" w:rsidR="00F770BE" w:rsidRDefault="00460BEA" w:rsidP="001F47B2">
      <w:pPr>
        <w:pStyle w:val="ListParagraph"/>
        <w:numPr>
          <w:ilvl w:val="0"/>
          <w:numId w:val="25"/>
        </w:numPr>
        <w:spacing w:after="0" w:line="360" w:lineRule="auto"/>
        <w:jc w:val="both"/>
        <w:rPr>
          <w:rFonts w:ascii="Times New Roman" w:hAnsi="Times New Roman" w:cs="Times New Roman"/>
          <w:sz w:val="24"/>
          <w:szCs w:val="24"/>
        </w:rPr>
      </w:pPr>
      <w:r w:rsidRPr="00CB2925">
        <w:rPr>
          <w:rFonts w:ascii="Times New Roman" w:hAnsi="Times New Roman" w:cs="Times New Roman"/>
          <w:i/>
          <w:iCs/>
          <w:sz w:val="24"/>
          <w:szCs w:val="24"/>
        </w:rPr>
        <w:t>Разширяването</w:t>
      </w:r>
      <w:r w:rsidRPr="00F770BE">
        <w:rPr>
          <w:rFonts w:ascii="Times New Roman" w:hAnsi="Times New Roman" w:cs="Times New Roman"/>
          <w:sz w:val="24"/>
          <w:szCs w:val="24"/>
        </w:rPr>
        <w:t xml:space="preserve"> се разглежда като процес на географско и политическо разрастване, чрез който ЕС увеличава своето влияние, икономическа мощ и геостратегическа тежест.</w:t>
      </w:r>
    </w:p>
    <w:p w14:paraId="3F64932F" w14:textId="77777777" w:rsidR="00460BEA" w:rsidRPr="00F770BE" w:rsidRDefault="00460BEA" w:rsidP="001F47B2">
      <w:pPr>
        <w:pStyle w:val="ListParagraph"/>
        <w:numPr>
          <w:ilvl w:val="0"/>
          <w:numId w:val="25"/>
        </w:numPr>
        <w:spacing w:after="0" w:line="360" w:lineRule="auto"/>
        <w:jc w:val="both"/>
        <w:rPr>
          <w:rFonts w:ascii="Times New Roman" w:hAnsi="Times New Roman" w:cs="Times New Roman"/>
          <w:sz w:val="24"/>
          <w:szCs w:val="24"/>
        </w:rPr>
      </w:pPr>
      <w:r w:rsidRPr="00CB2925">
        <w:rPr>
          <w:rFonts w:ascii="Times New Roman" w:hAnsi="Times New Roman" w:cs="Times New Roman"/>
          <w:i/>
          <w:iCs/>
          <w:sz w:val="24"/>
          <w:szCs w:val="24"/>
        </w:rPr>
        <w:t>Задълбочаването</w:t>
      </w:r>
      <w:r w:rsidRPr="00F770BE">
        <w:rPr>
          <w:rFonts w:ascii="Times New Roman" w:hAnsi="Times New Roman" w:cs="Times New Roman"/>
          <w:sz w:val="24"/>
          <w:szCs w:val="24"/>
        </w:rPr>
        <w:t xml:space="preserve"> обаче цели вътрешна консолидация </w:t>
      </w:r>
      <w:r w:rsidR="00F770BE">
        <w:rPr>
          <w:rFonts w:ascii="Times New Roman" w:hAnsi="Times New Roman" w:cs="Times New Roman"/>
          <w:sz w:val="24"/>
          <w:szCs w:val="24"/>
        </w:rPr>
        <w:t>-</w:t>
      </w:r>
      <w:r w:rsidRPr="00F770BE">
        <w:rPr>
          <w:rFonts w:ascii="Times New Roman" w:hAnsi="Times New Roman" w:cs="Times New Roman"/>
          <w:sz w:val="24"/>
          <w:szCs w:val="24"/>
        </w:rPr>
        <w:t xml:space="preserve"> хармонизиране на политики, засилване на наднационалните институции и въвеждане на общи стандарти и механизми за управление.</w:t>
      </w:r>
    </w:p>
    <w:p w14:paraId="106F51C3"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 xml:space="preserve">В практиката тези две тенденции често се сблъскват. Колкото повече нараства броят на членовете, толкова по-трудно става постигането на консенсус по ключови въпроси като фискалната политика, общата външна политика или миграцията. Оттук възниква необходимостта от баланс между двете посоки </w:t>
      </w:r>
      <w:r w:rsidR="00F770BE">
        <w:rPr>
          <w:rFonts w:ascii="Times New Roman" w:hAnsi="Times New Roman" w:cs="Times New Roman"/>
          <w:sz w:val="24"/>
          <w:szCs w:val="24"/>
        </w:rPr>
        <w:t>-</w:t>
      </w:r>
      <w:r w:rsidRPr="00460BEA">
        <w:rPr>
          <w:rFonts w:ascii="Times New Roman" w:hAnsi="Times New Roman" w:cs="Times New Roman"/>
          <w:sz w:val="24"/>
          <w:szCs w:val="24"/>
        </w:rPr>
        <w:t xml:space="preserve"> ЕС не може да се затвори към нови членове, но и не може да рискува институционална парализа.</w:t>
      </w:r>
      <w:r w:rsidR="00116F7A">
        <w:rPr>
          <w:rFonts w:ascii="Times New Roman" w:hAnsi="Times New Roman" w:cs="Times New Roman"/>
          <w:sz w:val="24"/>
          <w:szCs w:val="24"/>
        </w:rPr>
        <w:t xml:space="preserve"> </w:t>
      </w:r>
      <w:r w:rsidRPr="00460BEA">
        <w:rPr>
          <w:rFonts w:ascii="Times New Roman" w:hAnsi="Times New Roman" w:cs="Times New Roman"/>
          <w:sz w:val="24"/>
          <w:szCs w:val="24"/>
        </w:rPr>
        <w:t>Този баланс е динамичен и се променя в зависимост от политическите приоритети и външните предизвикателства.</w:t>
      </w:r>
    </w:p>
    <w:p w14:paraId="19A05798" w14:textId="77777777" w:rsidR="00460BEA" w:rsidRPr="00522DE3" w:rsidRDefault="00522DE3"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2" w:name="four_two"/>
      <w:r>
        <w:rPr>
          <w:rFonts w:ascii="Times New Roman" w:hAnsi="Times New Roman" w:cs="Times New Roman"/>
          <w:i/>
          <w:iCs/>
          <w:sz w:val="24"/>
          <w:szCs w:val="24"/>
        </w:rPr>
        <w:t xml:space="preserve"> </w:t>
      </w:r>
      <w:r w:rsidR="00460BEA" w:rsidRPr="00522DE3">
        <w:rPr>
          <w:rFonts w:ascii="Times New Roman" w:hAnsi="Times New Roman" w:cs="Times New Roman"/>
          <w:i/>
          <w:iCs/>
          <w:sz w:val="24"/>
          <w:szCs w:val="24"/>
          <w:u w:val="single"/>
        </w:rPr>
        <w:t>Институционални и управленски предизвикателства</w:t>
      </w:r>
      <w:bookmarkEnd w:id="12"/>
    </w:p>
    <w:p w14:paraId="374D2D13"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 xml:space="preserve">Разширяването поставя </w:t>
      </w:r>
      <w:r w:rsidR="00116F7A">
        <w:rPr>
          <w:rFonts w:ascii="Times New Roman" w:hAnsi="Times New Roman" w:cs="Times New Roman"/>
          <w:sz w:val="24"/>
          <w:szCs w:val="24"/>
        </w:rPr>
        <w:t xml:space="preserve">пред </w:t>
      </w:r>
      <w:r w:rsidRPr="00460BEA">
        <w:rPr>
          <w:rFonts w:ascii="Times New Roman" w:hAnsi="Times New Roman" w:cs="Times New Roman"/>
          <w:sz w:val="24"/>
          <w:szCs w:val="24"/>
        </w:rPr>
        <w:t>изпитание управленския капацитет на ЕС. С всяка нова вълна от членки нараства сложността на процеса на вземане на решения, особено в области, където се изисква единодушие. В резултат на това се наблюдава тенденция към т.нар. „</w:t>
      </w:r>
      <w:r w:rsidRPr="00116F7A">
        <w:rPr>
          <w:rFonts w:ascii="Times New Roman" w:hAnsi="Times New Roman" w:cs="Times New Roman"/>
          <w:i/>
          <w:iCs/>
          <w:sz w:val="24"/>
          <w:szCs w:val="24"/>
        </w:rPr>
        <w:t>институционално претоварване</w:t>
      </w:r>
      <w:r w:rsidRPr="00460BEA">
        <w:rPr>
          <w:rFonts w:ascii="Times New Roman" w:hAnsi="Times New Roman" w:cs="Times New Roman"/>
          <w:sz w:val="24"/>
          <w:szCs w:val="24"/>
        </w:rPr>
        <w:t>“, което ограничава ефективността на Съюза.</w:t>
      </w:r>
    </w:p>
    <w:p w14:paraId="26C6F6FD"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Един от ключовите инструменти за справяне с този проблем е реформата на институциите. С Договора от Лисабон (2009 г.) бяха въведени механизми за по-гъвкаво управление, като например разширено използване на квалифицирано мнозинство в Съвета на ЕС и укрепване на ролята на Европейския парламент. Въпреки това, дебатът за институционалната адаптация продължава, особено във връзка с бъдещи членства на държавите от Западните Балкани, Украйна и Молдова.</w:t>
      </w:r>
    </w:p>
    <w:p w14:paraId="39FE0D85"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Друг сериозен проблем е неравномерното прилагане на европейските норми в новите държави членки. Разликите в качеството на управление, върховенството на закона и борбата с корупцията подкопават доверието между държавите и създават усещане за „</w:t>
      </w:r>
      <w:r w:rsidRPr="006D1DB8">
        <w:rPr>
          <w:rFonts w:ascii="Times New Roman" w:hAnsi="Times New Roman" w:cs="Times New Roman"/>
          <w:i/>
          <w:iCs/>
          <w:sz w:val="24"/>
          <w:szCs w:val="24"/>
        </w:rPr>
        <w:t>многоскоростна Европа</w:t>
      </w:r>
      <w:r w:rsidRPr="00460BEA">
        <w:rPr>
          <w:rFonts w:ascii="Times New Roman" w:hAnsi="Times New Roman" w:cs="Times New Roman"/>
          <w:sz w:val="24"/>
          <w:szCs w:val="24"/>
        </w:rPr>
        <w:t>“. Това поражда въпроса дали ЕС може да приеме нови членове, без да засили механизмите за мониторинг и контрол.</w:t>
      </w:r>
    </w:p>
    <w:p w14:paraId="62597757" w14:textId="77777777" w:rsidR="00460BEA" w:rsidRPr="00522DE3" w:rsidRDefault="00522DE3"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3" w:name="four_three"/>
      <w:r>
        <w:rPr>
          <w:rFonts w:ascii="Times New Roman" w:hAnsi="Times New Roman" w:cs="Times New Roman"/>
          <w:i/>
          <w:iCs/>
          <w:sz w:val="24"/>
          <w:szCs w:val="24"/>
        </w:rPr>
        <w:t xml:space="preserve"> </w:t>
      </w:r>
      <w:r w:rsidR="00460BEA" w:rsidRPr="00522DE3">
        <w:rPr>
          <w:rFonts w:ascii="Times New Roman" w:hAnsi="Times New Roman" w:cs="Times New Roman"/>
          <w:i/>
          <w:iCs/>
          <w:sz w:val="24"/>
          <w:szCs w:val="24"/>
          <w:u w:val="single"/>
        </w:rPr>
        <w:t>Казуси</w:t>
      </w:r>
    </w:p>
    <w:bookmarkEnd w:id="13"/>
    <w:p w14:paraId="1D441E26"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 xml:space="preserve">Регионът на Западните Балкани е най-показателният пример за напрежението между разширяване и задълбочаване. Въпреки стратегическото значение на региона, напредъкът в евроинтеграцията е бавен и неравномерен. Основната причина е опасението на някои държави членки, че бързото </w:t>
      </w:r>
      <w:r w:rsidRPr="00460BEA">
        <w:rPr>
          <w:rFonts w:ascii="Times New Roman" w:hAnsi="Times New Roman" w:cs="Times New Roman"/>
          <w:sz w:val="24"/>
          <w:szCs w:val="24"/>
        </w:rPr>
        <w:lastRenderedPageBreak/>
        <w:t>приемане на нови членове би могло да отслаби кохезията на ЕС. В същото време, отлагането на разширяването рискува да засили външното влияние на други геополитически играчи като Русия, Китай и Турция.</w:t>
      </w:r>
      <w:r w:rsidR="00166A5C">
        <w:rPr>
          <w:rStyle w:val="FootnoteReference"/>
          <w:rFonts w:ascii="Times New Roman" w:hAnsi="Times New Roman" w:cs="Times New Roman"/>
          <w:sz w:val="24"/>
          <w:szCs w:val="24"/>
        </w:rPr>
        <w:footnoteReference w:id="13"/>
      </w:r>
    </w:p>
    <w:p w14:paraId="59454D9A"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 xml:space="preserve">В отговор на тези предизвикателства се засилва идеята за диференцирана интеграция </w:t>
      </w:r>
      <w:r w:rsidR="002C3577">
        <w:rPr>
          <w:rFonts w:ascii="Times New Roman" w:hAnsi="Times New Roman" w:cs="Times New Roman"/>
          <w:sz w:val="24"/>
          <w:szCs w:val="24"/>
        </w:rPr>
        <w:t>-</w:t>
      </w:r>
      <w:r w:rsidRPr="00460BEA">
        <w:rPr>
          <w:rFonts w:ascii="Times New Roman" w:hAnsi="Times New Roman" w:cs="Times New Roman"/>
          <w:sz w:val="24"/>
          <w:szCs w:val="24"/>
        </w:rPr>
        <w:t xml:space="preserve"> концепция, според която държавите могат да участват в различни „</w:t>
      </w:r>
      <w:r w:rsidRPr="002C3577">
        <w:rPr>
          <w:rFonts w:ascii="Times New Roman" w:hAnsi="Times New Roman" w:cs="Times New Roman"/>
          <w:i/>
          <w:iCs/>
          <w:sz w:val="24"/>
          <w:szCs w:val="24"/>
        </w:rPr>
        <w:t>нива</w:t>
      </w:r>
      <w:r w:rsidRPr="00460BEA">
        <w:rPr>
          <w:rFonts w:ascii="Times New Roman" w:hAnsi="Times New Roman" w:cs="Times New Roman"/>
          <w:sz w:val="24"/>
          <w:szCs w:val="24"/>
        </w:rPr>
        <w:t>“ на интеграция в зависимост от своята готовност и политическа воля. Така например, не всички членки участват в еврозоната или Шенгенското пространство.</w:t>
      </w:r>
    </w:p>
    <w:p w14:paraId="52BEF6D1"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Тази идея води до концепцията за „</w:t>
      </w:r>
      <w:r w:rsidRPr="002C3577">
        <w:rPr>
          <w:rFonts w:ascii="Times New Roman" w:hAnsi="Times New Roman" w:cs="Times New Roman"/>
          <w:i/>
          <w:iCs/>
          <w:sz w:val="24"/>
          <w:szCs w:val="24"/>
        </w:rPr>
        <w:t>Европа на две скорости</w:t>
      </w:r>
      <w:r w:rsidRPr="00460BEA">
        <w:rPr>
          <w:rFonts w:ascii="Times New Roman" w:hAnsi="Times New Roman" w:cs="Times New Roman"/>
          <w:sz w:val="24"/>
          <w:szCs w:val="24"/>
        </w:rPr>
        <w:t>“ (или „</w:t>
      </w:r>
      <w:r w:rsidRPr="002C3577">
        <w:rPr>
          <w:rFonts w:ascii="Times New Roman" w:hAnsi="Times New Roman" w:cs="Times New Roman"/>
          <w:i/>
          <w:iCs/>
          <w:sz w:val="24"/>
          <w:szCs w:val="24"/>
        </w:rPr>
        <w:t>Европа на концентрични кръгове</w:t>
      </w:r>
      <w:r w:rsidRPr="00460BEA">
        <w:rPr>
          <w:rFonts w:ascii="Times New Roman" w:hAnsi="Times New Roman" w:cs="Times New Roman"/>
          <w:sz w:val="24"/>
          <w:szCs w:val="24"/>
        </w:rPr>
        <w:t xml:space="preserve">“), при която вътрешният кръг се състои от държави, интегрирани в по-дълбоки съюзи (например валутен и банков съюз), а външният </w:t>
      </w:r>
      <w:r w:rsidR="002C3577">
        <w:rPr>
          <w:rFonts w:ascii="Times New Roman" w:hAnsi="Times New Roman" w:cs="Times New Roman"/>
          <w:sz w:val="24"/>
          <w:szCs w:val="24"/>
        </w:rPr>
        <w:t xml:space="preserve">- </w:t>
      </w:r>
      <w:r w:rsidRPr="00460BEA">
        <w:rPr>
          <w:rFonts w:ascii="Times New Roman" w:hAnsi="Times New Roman" w:cs="Times New Roman"/>
          <w:sz w:val="24"/>
          <w:szCs w:val="24"/>
        </w:rPr>
        <w:t>от страни в процес на присъединяване или с ограничено участие в общите политики.</w:t>
      </w:r>
      <w:r w:rsidR="00276FC8">
        <w:rPr>
          <w:rStyle w:val="FootnoteReference"/>
          <w:rFonts w:ascii="Times New Roman" w:hAnsi="Times New Roman" w:cs="Times New Roman"/>
          <w:sz w:val="24"/>
          <w:szCs w:val="24"/>
        </w:rPr>
        <w:footnoteReference w:id="14"/>
      </w:r>
      <w:r w:rsidR="00522DE3">
        <w:rPr>
          <w:rFonts w:ascii="Times New Roman" w:hAnsi="Times New Roman" w:cs="Times New Roman"/>
          <w:sz w:val="24"/>
          <w:szCs w:val="24"/>
        </w:rPr>
        <w:t xml:space="preserve"> </w:t>
      </w:r>
      <w:r w:rsidRPr="00460BEA">
        <w:rPr>
          <w:rFonts w:ascii="Times New Roman" w:hAnsi="Times New Roman" w:cs="Times New Roman"/>
          <w:sz w:val="24"/>
          <w:szCs w:val="24"/>
        </w:rPr>
        <w:t xml:space="preserve">Този модел би могъл да позволи на ЕС да продължи разширяването си, без да забавя процеса на интеграционно задълбочаване. Въпреки това, той поражда и рискове </w:t>
      </w:r>
      <w:r w:rsidR="00CB20B1">
        <w:rPr>
          <w:rFonts w:ascii="Times New Roman" w:hAnsi="Times New Roman" w:cs="Times New Roman"/>
          <w:sz w:val="24"/>
          <w:szCs w:val="24"/>
        </w:rPr>
        <w:t>-</w:t>
      </w:r>
      <w:r w:rsidRPr="00460BEA">
        <w:rPr>
          <w:rFonts w:ascii="Times New Roman" w:hAnsi="Times New Roman" w:cs="Times New Roman"/>
          <w:sz w:val="24"/>
          <w:szCs w:val="24"/>
        </w:rPr>
        <w:t xml:space="preserve"> създаване на различни категории членство и неравенство между държавите, което може да подкопае принципа на солидарност.</w:t>
      </w:r>
    </w:p>
    <w:p w14:paraId="030FA305" w14:textId="77777777" w:rsidR="00460BEA" w:rsidRPr="00522DE3" w:rsidRDefault="00522DE3"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4" w:name="four_four"/>
      <w:r>
        <w:rPr>
          <w:rFonts w:ascii="Times New Roman" w:hAnsi="Times New Roman" w:cs="Times New Roman"/>
          <w:i/>
          <w:iCs/>
          <w:sz w:val="24"/>
          <w:szCs w:val="24"/>
        </w:rPr>
        <w:t xml:space="preserve"> </w:t>
      </w:r>
      <w:r w:rsidR="00460BEA" w:rsidRPr="00522DE3">
        <w:rPr>
          <w:rFonts w:ascii="Times New Roman" w:hAnsi="Times New Roman" w:cs="Times New Roman"/>
          <w:i/>
          <w:iCs/>
          <w:sz w:val="24"/>
          <w:szCs w:val="24"/>
          <w:u w:val="single"/>
        </w:rPr>
        <w:t>Ролята на вътрешните и външните фактори</w:t>
      </w:r>
    </w:p>
    <w:bookmarkEnd w:id="14"/>
    <w:p w14:paraId="09EDAA4C"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Вътрешните и външните фактори оказват силно влияние върху динамиката между разширяване и задълбочаване.</w:t>
      </w:r>
      <w:r w:rsidR="00A47390">
        <w:rPr>
          <w:rStyle w:val="FootnoteReference"/>
          <w:rFonts w:ascii="Times New Roman" w:hAnsi="Times New Roman" w:cs="Times New Roman"/>
          <w:sz w:val="24"/>
          <w:szCs w:val="24"/>
        </w:rPr>
        <w:footnoteReference w:id="15"/>
      </w:r>
    </w:p>
    <w:p w14:paraId="7DAAD0EB"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От вътрешна гледна точка, ЕС се сблъсква с последиците от икономическата криза, пандемията от COVID-19, миграционния натиск и нарастващия евроскептицизъм. Тези предизвикателства насочват вниманието на политическите лидери към стабилизирането на вътрешната среда, което временно измества приоритета на разширяването.</w:t>
      </w:r>
    </w:p>
    <w:p w14:paraId="1D1DB7C2" w14:textId="77777777" w:rsidR="00460BEA" w:rsidRPr="00460BEA" w:rsidRDefault="00460BEA" w:rsidP="001F47B2">
      <w:pPr>
        <w:spacing w:after="0" w:line="360" w:lineRule="auto"/>
        <w:jc w:val="both"/>
        <w:rPr>
          <w:rFonts w:ascii="Times New Roman" w:hAnsi="Times New Roman" w:cs="Times New Roman"/>
          <w:sz w:val="24"/>
          <w:szCs w:val="24"/>
        </w:rPr>
      </w:pPr>
      <w:r w:rsidRPr="00460BEA">
        <w:rPr>
          <w:rFonts w:ascii="Times New Roman" w:hAnsi="Times New Roman" w:cs="Times New Roman"/>
          <w:sz w:val="24"/>
          <w:szCs w:val="24"/>
        </w:rPr>
        <w:t>От външна гледна точка, сигурността и геополитическата среда след войната в Украйна промениха стратегическите цели на ЕС. Разширяването вече не се възприема само като инструмент за икономическо развитие, а и като механизъм за укрепване на сигурността и защитата на демократичните ценности. Съюзът осъзнава, че стабилността в съседните региони е пряко свързана с неговата собствена устойчивост.</w:t>
      </w:r>
    </w:p>
    <w:p w14:paraId="181F435A" w14:textId="77777777" w:rsidR="00544371" w:rsidRPr="00EA1BCC" w:rsidRDefault="00460BEA" w:rsidP="001F47B2">
      <w:pPr>
        <w:spacing w:after="0" w:line="360" w:lineRule="auto"/>
        <w:jc w:val="both"/>
        <w:rPr>
          <w:rStyle w:val="s4"/>
          <w:rFonts w:ascii="Times New Roman" w:hAnsi="Times New Roman" w:cs="Times New Roman"/>
          <w:sz w:val="24"/>
          <w:szCs w:val="24"/>
        </w:rPr>
      </w:pPr>
      <w:r w:rsidRPr="00460BEA">
        <w:rPr>
          <w:rFonts w:ascii="Times New Roman" w:hAnsi="Times New Roman" w:cs="Times New Roman"/>
          <w:sz w:val="24"/>
          <w:szCs w:val="24"/>
        </w:rPr>
        <w:t xml:space="preserve">В този смисъл бъдещите разширявания </w:t>
      </w:r>
      <w:r w:rsidR="00AE0638">
        <w:rPr>
          <w:rFonts w:ascii="Times New Roman" w:hAnsi="Times New Roman" w:cs="Times New Roman"/>
          <w:sz w:val="24"/>
          <w:szCs w:val="24"/>
        </w:rPr>
        <w:t xml:space="preserve">- </w:t>
      </w:r>
      <w:r w:rsidRPr="00460BEA">
        <w:rPr>
          <w:rFonts w:ascii="Times New Roman" w:hAnsi="Times New Roman" w:cs="Times New Roman"/>
          <w:sz w:val="24"/>
          <w:szCs w:val="24"/>
        </w:rPr>
        <w:t>особено към Западните Балкани, Украйна и Молдова</w:t>
      </w:r>
      <w:r w:rsidR="00AE0638">
        <w:rPr>
          <w:rFonts w:ascii="Times New Roman" w:hAnsi="Times New Roman" w:cs="Times New Roman"/>
          <w:sz w:val="24"/>
          <w:szCs w:val="24"/>
        </w:rPr>
        <w:t xml:space="preserve"> - </w:t>
      </w:r>
      <w:r w:rsidRPr="00460BEA">
        <w:rPr>
          <w:rFonts w:ascii="Times New Roman" w:hAnsi="Times New Roman" w:cs="Times New Roman"/>
          <w:sz w:val="24"/>
          <w:szCs w:val="24"/>
        </w:rPr>
        <w:t>ще изискват нов подход, който да съчетава политическата воля за интеграция с прагматизъм и гъвкавост в управлението.</w:t>
      </w:r>
      <w:r w:rsidR="00EA1BCC">
        <w:rPr>
          <w:rFonts w:ascii="Times New Roman" w:hAnsi="Times New Roman" w:cs="Times New Roman"/>
          <w:sz w:val="24"/>
          <w:szCs w:val="24"/>
        </w:rPr>
        <w:t xml:space="preserve"> </w:t>
      </w:r>
      <w:r w:rsidRPr="00460BEA">
        <w:rPr>
          <w:rFonts w:ascii="Times New Roman" w:hAnsi="Times New Roman" w:cs="Times New Roman"/>
          <w:sz w:val="24"/>
          <w:szCs w:val="24"/>
        </w:rPr>
        <w:t>В заключение, напрежението между разширяването и задълбочаването на интеграцията не е криза, а естествен етап в развитието на ЕС. То отразява стремежа на Съюза да балансира между своята вътрешна стабилност и външната си роля като гарант за сигурност и демокрация. Решението вероятно ще бъде поетапна, диференцирана интеграция, която ще позволи на ЕС едновременно да се разширява и да се консолидира отвътре.</w:t>
      </w:r>
    </w:p>
    <w:p w14:paraId="02679E2E" w14:textId="77777777" w:rsidR="00F32D3F" w:rsidRPr="009B4A30" w:rsidRDefault="00C25B2D" w:rsidP="001F47B2">
      <w:pPr>
        <w:pStyle w:val="ListParagraph"/>
        <w:numPr>
          <w:ilvl w:val="0"/>
          <w:numId w:val="4"/>
        </w:numPr>
        <w:spacing w:before="240" w:line="360" w:lineRule="auto"/>
        <w:ind w:firstLine="0"/>
        <w:jc w:val="both"/>
        <w:rPr>
          <w:rFonts w:ascii="Times New Roman" w:hAnsi="Times New Roman" w:cs="Times New Roman"/>
          <w:b/>
          <w:bCs/>
          <w:sz w:val="28"/>
          <w:szCs w:val="28"/>
        </w:rPr>
      </w:pPr>
      <w:bookmarkStart w:id="15" w:name="five"/>
      <w:r w:rsidRPr="00C25B2D">
        <w:rPr>
          <w:rFonts w:ascii="Times New Roman" w:hAnsi="Times New Roman" w:cs="Times New Roman"/>
          <w:b/>
          <w:bCs/>
          <w:sz w:val="28"/>
          <w:szCs w:val="28"/>
        </w:rPr>
        <w:lastRenderedPageBreak/>
        <w:t>Бъдещето на политиката на разширяване на ЕС</w:t>
      </w:r>
    </w:p>
    <w:p w14:paraId="5C2BECF4" w14:textId="77777777" w:rsidR="00FD458E" w:rsidRPr="00522DE3" w:rsidRDefault="00E020D6"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6" w:name="five_one"/>
      <w:bookmarkEnd w:id="15"/>
      <w:r>
        <w:rPr>
          <w:rFonts w:ascii="Times New Roman" w:hAnsi="Times New Roman" w:cs="Times New Roman"/>
          <w:sz w:val="24"/>
          <w:szCs w:val="24"/>
        </w:rPr>
        <w:t xml:space="preserve"> </w:t>
      </w:r>
      <w:r w:rsidR="00FD458E" w:rsidRPr="00522DE3">
        <w:rPr>
          <w:rFonts w:ascii="Times New Roman" w:hAnsi="Times New Roman" w:cs="Times New Roman"/>
          <w:i/>
          <w:iCs/>
          <w:sz w:val="24"/>
          <w:szCs w:val="24"/>
          <w:u w:val="single"/>
        </w:rPr>
        <w:t>Настоящо състояние и стратегически документи на ЕС (2024–2025 г.)</w:t>
      </w:r>
      <w:bookmarkEnd w:id="16"/>
    </w:p>
    <w:p w14:paraId="1C2E26DC" w14:textId="77777777" w:rsidR="00FD458E" w:rsidRPr="00FD458E" w:rsidRDefault="00FD458E" w:rsidP="001F47B2">
      <w:pPr>
        <w:spacing w:after="0" w:line="360" w:lineRule="auto"/>
        <w:jc w:val="both"/>
        <w:rPr>
          <w:rFonts w:ascii="Times New Roman" w:hAnsi="Times New Roman" w:cs="Times New Roman"/>
          <w:sz w:val="24"/>
          <w:szCs w:val="24"/>
        </w:rPr>
      </w:pPr>
      <w:r w:rsidRPr="00FD458E">
        <w:rPr>
          <w:rFonts w:ascii="Times New Roman" w:hAnsi="Times New Roman" w:cs="Times New Roman"/>
          <w:sz w:val="24"/>
          <w:szCs w:val="24"/>
        </w:rPr>
        <w:t>В периода 2024</w:t>
      </w:r>
      <w:r w:rsidR="009B4A30">
        <w:rPr>
          <w:rFonts w:ascii="Times New Roman" w:hAnsi="Times New Roman" w:cs="Times New Roman"/>
          <w:sz w:val="24"/>
          <w:szCs w:val="24"/>
        </w:rPr>
        <w:t>-</w:t>
      </w:r>
      <w:r w:rsidRPr="00FD458E">
        <w:rPr>
          <w:rFonts w:ascii="Times New Roman" w:hAnsi="Times New Roman" w:cs="Times New Roman"/>
          <w:sz w:val="24"/>
          <w:szCs w:val="24"/>
        </w:rPr>
        <w:t>2025 г. политиката на разширяване на Европейския съюз се намира в ключов етап на преосмисляне. Войната в Украйна и променената геополитическа среда в Европа доведоха до възраждане на идеята за обединена и стратегически автономна Европа. ЕС възприема разширяването не само като инструмент на външната си политика, но и като необходимост за укрепване на сигурността и устойчивостта на континента.</w:t>
      </w:r>
    </w:p>
    <w:p w14:paraId="319584B7" w14:textId="77777777" w:rsidR="00FD458E" w:rsidRPr="00FD458E" w:rsidRDefault="00FD458E" w:rsidP="001F47B2">
      <w:pPr>
        <w:spacing w:after="0" w:line="360" w:lineRule="auto"/>
        <w:jc w:val="both"/>
        <w:rPr>
          <w:rFonts w:ascii="Times New Roman" w:hAnsi="Times New Roman" w:cs="Times New Roman"/>
          <w:sz w:val="24"/>
          <w:szCs w:val="24"/>
        </w:rPr>
      </w:pPr>
      <w:r w:rsidRPr="00FD458E">
        <w:rPr>
          <w:rFonts w:ascii="Times New Roman" w:hAnsi="Times New Roman" w:cs="Times New Roman"/>
          <w:sz w:val="24"/>
          <w:szCs w:val="24"/>
        </w:rPr>
        <w:t>През ноември 2023 г. Европейската комисия прие новия Доклад за разширяването, в който се оценява напредъкът на Украйна, Молдова и Западните Балкани. Докладът препоръчва започване на преговори с Украйна и Молдова и подчертава важността на ускорената интеграция на Западните Балкани.</w:t>
      </w:r>
      <w:r w:rsidR="00AB462A">
        <w:rPr>
          <w:rStyle w:val="FootnoteReference"/>
          <w:rFonts w:ascii="Times New Roman" w:hAnsi="Times New Roman" w:cs="Times New Roman"/>
          <w:sz w:val="24"/>
          <w:szCs w:val="24"/>
        </w:rPr>
        <w:footnoteReference w:id="16"/>
      </w:r>
      <w:r w:rsidR="009B4A30">
        <w:rPr>
          <w:rFonts w:ascii="Times New Roman" w:hAnsi="Times New Roman" w:cs="Times New Roman"/>
          <w:sz w:val="24"/>
          <w:szCs w:val="24"/>
        </w:rPr>
        <w:t xml:space="preserve"> </w:t>
      </w:r>
      <w:r w:rsidRPr="00FD458E">
        <w:rPr>
          <w:rFonts w:ascii="Times New Roman" w:hAnsi="Times New Roman" w:cs="Times New Roman"/>
          <w:sz w:val="24"/>
          <w:szCs w:val="24"/>
        </w:rPr>
        <w:t>Паралелно с това, Европейският съвет прие решения за засилване на Инструмента за предприсъединителна помощ (IPA III)</w:t>
      </w:r>
      <w:r w:rsidR="00CD1C51">
        <w:rPr>
          <w:rStyle w:val="FootnoteReference"/>
          <w:rFonts w:ascii="Times New Roman" w:hAnsi="Times New Roman" w:cs="Times New Roman"/>
          <w:sz w:val="24"/>
          <w:szCs w:val="24"/>
        </w:rPr>
        <w:footnoteReference w:id="17"/>
      </w:r>
      <w:r w:rsidRPr="00FD458E">
        <w:rPr>
          <w:rFonts w:ascii="Times New Roman" w:hAnsi="Times New Roman" w:cs="Times New Roman"/>
          <w:sz w:val="24"/>
          <w:szCs w:val="24"/>
        </w:rPr>
        <w:t xml:space="preserve"> и за създаване на механизъм за поетапно включване на кандидатите в отделни политики и програми на ЕС още преди пълноправното им членство.</w:t>
      </w:r>
      <w:r w:rsidR="00A53A92">
        <w:rPr>
          <w:rStyle w:val="FootnoteReference"/>
          <w:rFonts w:ascii="Times New Roman" w:hAnsi="Times New Roman" w:cs="Times New Roman"/>
          <w:sz w:val="24"/>
          <w:szCs w:val="24"/>
        </w:rPr>
        <w:footnoteReference w:id="18"/>
      </w:r>
      <w:r w:rsidR="00522DE3">
        <w:rPr>
          <w:rFonts w:ascii="Times New Roman" w:hAnsi="Times New Roman" w:cs="Times New Roman"/>
          <w:sz w:val="24"/>
          <w:szCs w:val="24"/>
        </w:rPr>
        <w:t xml:space="preserve"> </w:t>
      </w:r>
      <w:r w:rsidRPr="00FD458E">
        <w:rPr>
          <w:rFonts w:ascii="Times New Roman" w:hAnsi="Times New Roman" w:cs="Times New Roman"/>
          <w:sz w:val="24"/>
          <w:szCs w:val="24"/>
        </w:rPr>
        <w:t xml:space="preserve">Тези инициативи показват, че ЕС се стреми да направи процеса по-гъвкав и по-прагматичен, като постепенно включва новите държави в ключови области </w:t>
      </w:r>
      <w:r w:rsidR="0041044C">
        <w:rPr>
          <w:rFonts w:ascii="Times New Roman" w:hAnsi="Times New Roman" w:cs="Times New Roman"/>
          <w:sz w:val="24"/>
          <w:szCs w:val="24"/>
        </w:rPr>
        <w:t>-</w:t>
      </w:r>
      <w:r w:rsidRPr="00FD458E">
        <w:rPr>
          <w:rFonts w:ascii="Times New Roman" w:hAnsi="Times New Roman" w:cs="Times New Roman"/>
          <w:sz w:val="24"/>
          <w:szCs w:val="24"/>
        </w:rPr>
        <w:t xml:space="preserve"> енергетика, транспорт, цифровизация и отбрана. Така разширяването вече не се разглежда като еднократен акт, а като динамичен процес на интеграция в движение.</w:t>
      </w:r>
    </w:p>
    <w:p w14:paraId="50111C33" w14:textId="77777777" w:rsidR="00FD458E" w:rsidRPr="00522DE3" w:rsidRDefault="00E020D6"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7" w:name="five_two"/>
      <w:r>
        <w:rPr>
          <w:rFonts w:ascii="Times New Roman" w:hAnsi="Times New Roman" w:cs="Times New Roman"/>
          <w:sz w:val="24"/>
          <w:szCs w:val="24"/>
        </w:rPr>
        <w:t xml:space="preserve"> </w:t>
      </w:r>
      <w:r w:rsidR="00FD458E" w:rsidRPr="00522DE3">
        <w:rPr>
          <w:rFonts w:ascii="Times New Roman" w:hAnsi="Times New Roman" w:cs="Times New Roman"/>
          <w:i/>
          <w:iCs/>
          <w:sz w:val="24"/>
          <w:szCs w:val="24"/>
          <w:u w:val="single"/>
        </w:rPr>
        <w:t>Възможни сценарии за развитие</w:t>
      </w:r>
      <w:bookmarkEnd w:id="17"/>
    </w:p>
    <w:p w14:paraId="3B73A173" w14:textId="77777777" w:rsidR="00FD458E" w:rsidRPr="00FD458E" w:rsidRDefault="00FD458E" w:rsidP="001F47B2">
      <w:pPr>
        <w:spacing w:after="0" w:line="360" w:lineRule="auto"/>
        <w:jc w:val="both"/>
        <w:rPr>
          <w:rFonts w:ascii="Times New Roman" w:hAnsi="Times New Roman" w:cs="Times New Roman"/>
          <w:sz w:val="24"/>
          <w:szCs w:val="24"/>
        </w:rPr>
      </w:pPr>
      <w:r w:rsidRPr="00FD458E">
        <w:rPr>
          <w:rFonts w:ascii="Times New Roman" w:hAnsi="Times New Roman" w:cs="Times New Roman"/>
          <w:sz w:val="24"/>
          <w:szCs w:val="24"/>
        </w:rPr>
        <w:t>Бъдещето на политиката на разширяване може да се развие в няколко възможни сценария:</w:t>
      </w:r>
      <w:r w:rsidR="006869DA">
        <w:rPr>
          <w:rStyle w:val="FootnoteReference"/>
          <w:rFonts w:ascii="Times New Roman" w:hAnsi="Times New Roman" w:cs="Times New Roman"/>
          <w:sz w:val="24"/>
          <w:szCs w:val="24"/>
        </w:rPr>
        <w:footnoteReference w:id="19"/>
      </w:r>
    </w:p>
    <w:p w14:paraId="5E059935" w14:textId="77777777" w:rsidR="0041044C" w:rsidRDefault="00FD458E" w:rsidP="001F47B2">
      <w:pPr>
        <w:pStyle w:val="ListParagraph"/>
        <w:numPr>
          <w:ilvl w:val="0"/>
          <w:numId w:val="27"/>
        </w:numPr>
        <w:spacing w:after="0" w:line="360" w:lineRule="auto"/>
        <w:jc w:val="both"/>
        <w:rPr>
          <w:rFonts w:ascii="Times New Roman" w:hAnsi="Times New Roman" w:cs="Times New Roman"/>
          <w:sz w:val="24"/>
          <w:szCs w:val="24"/>
        </w:rPr>
      </w:pPr>
      <w:r w:rsidRPr="00216225">
        <w:rPr>
          <w:rFonts w:ascii="Times New Roman" w:hAnsi="Times New Roman" w:cs="Times New Roman"/>
          <w:i/>
          <w:iCs/>
          <w:sz w:val="24"/>
          <w:szCs w:val="24"/>
        </w:rPr>
        <w:t>Сценарий на застой</w:t>
      </w:r>
      <w:r w:rsidRPr="0041044C">
        <w:rPr>
          <w:rFonts w:ascii="Times New Roman" w:hAnsi="Times New Roman" w:cs="Times New Roman"/>
          <w:sz w:val="24"/>
          <w:szCs w:val="24"/>
        </w:rPr>
        <w:t xml:space="preserve"> </w:t>
      </w:r>
      <w:r w:rsidR="00216225">
        <w:rPr>
          <w:rFonts w:ascii="Times New Roman" w:hAnsi="Times New Roman" w:cs="Times New Roman"/>
          <w:sz w:val="24"/>
          <w:szCs w:val="24"/>
        </w:rPr>
        <w:t>-</w:t>
      </w:r>
      <w:r w:rsidRPr="0041044C">
        <w:rPr>
          <w:rFonts w:ascii="Times New Roman" w:hAnsi="Times New Roman" w:cs="Times New Roman"/>
          <w:sz w:val="24"/>
          <w:szCs w:val="24"/>
        </w:rPr>
        <w:t xml:space="preserve"> ЕС запазва сегашния си подход, при който разширяването остава дългосрочна перспектива, но без конкретен времеви хоризонт. Този вариант е вероятен, ако вътрешните предизвикателства и евроскептицизмът продължат да доминират. Макар да осигурява стабилност, този сценарий крие риск от разочарование в страните кандидати и отслабване на европейското влияние в съседните региони.</w:t>
      </w:r>
    </w:p>
    <w:p w14:paraId="17D37DB1" w14:textId="77777777" w:rsidR="0041044C" w:rsidRDefault="00FD458E" w:rsidP="001F47B2">
      <w:pPr>
        <w:pStyle w:val="ListParagraph"/>
        <w:numPr>
          <w:ilvl w:val="0"/>
          <w:numId w:val="27"/>
        </w:numPr>
        <w:spacing w:after="0" w:line="360" w:lineRule="auto"/>
        <w:jc w:val="both"/>
        <w:rPr>
          <w:rFonts w:ascii="Times New Roman" w:hAnsi="Times New Roman" w:cs="Times New Roman"/>
          <w:sz w:val="24"/>
          <w:szCs w:val="24"/>
        </w:rPr>
      </w:pPr>
      <w:r w:rsidRPr="00216225">
        <w:rPr>
          <w:rFonts w:ascii="Times New Roman" w:hAnsi="Times New Roman" w:cs="Times New Roman"/>
          <w:i/>
          <w:iCs/>
          <w:sz w:val="24"/>
          <w:szCs w:val="24"/>
        </w:rPr>
        <w:t>Сценарий на ускорено разширяване</w:t>
      </w:r>
      <w:r w:rsidRPr="0041044C">
        <w:rPr>
          <w:rFonts w:ascii="Times New Roman" w:hAnsi="Times New Roman" w:cs="Times New Roman"/>
          <w:sz w:val="24"/>
          <w:szCs w:val="24"/>
        </w:rPr>
        <w:t xml:space="preserve"> </w:t>
      </w:r>
      <w:r w:rsidR="00216225">
        <w:rPr>
          <w:rFonts w:ascii="Times New Roman" w:hAnsi="Times New Roman" w:cs="Times New Roman"/>
          <w:sz w:val="24"/>
          <w:szCs w:val="24"/>
        </w:rPr>
        <w:t>-</w:t>
      </w:r>
      <w:r w:rsidRPr="0041044C">
        <w:rPr>
          <w:rFonts w:ascii="Times New Roman" w:hAnsi="Times New Roman" w:cs="Times New Roman"/>
          <w:sz w:val="24"/>
          <w:szCs w:val="24"/>
        </w:rPr>
        <w:t xml:space="preserve"> политическата воля за приемане на Украйна и Молдова би могла да ускори процеса и за останалите кандидати. Това би засилило геополитическата роля на ЕС, но би наложило сериозни институционални и бюджетни промени, за да се избегне управленска неефективност.</w:t>
      </w:r>
      <w:r w:rsidR="00042C2F">
        <w:rPr>
          <w:rStyle w:val="FootnoteReference"/>
          <w:rFonts w:ascii="Times New Roman" w:hAnsi="Times New Roman" w:cs="Times New Roman"/>
          <w:sz w:val="24"/>
          <w:szCs w:val="24"/>
        </w:rPr>
        <w:footnoteReference w:id="20"/>
      </w:r>
    </w:p>
    <w:p w14:paraId="2789B74F" w14:textId="77777777" w:rsidR="00FD458E" w:rsidRPr="0041044C" w:rsidRDefault="00FD458E" w:rsidP="001F47B2">
      <w:pPr>
        <w:pStyle w:val="ListParagraph"/>
        <w:numPr>
          <w:ilvl w:val="0"/>
          <w:numId w:val="27"/>
        </w:numPr>
        <w:spacing w:after="0" w:line="360" w:lineRule="auto"/>
        <w:jc w:val="both"/>
        <w:rPr>
          <w:rFonts w:ascii="Times New Roman" w:hAnsi="Times New Roman" w:cs="Times New Roman"/>
          <w:sz w:val="24"/>
          <w:szCs w:val="24"/>
        </w:rPr>
      </w:pPr>
      <w:r w:rsidRPr="00216225">
        <w:rPr>
          <w:rFonts w:ascii="Times New Roman" w:hAnsi="Times New Roman" w:cs="Times New Roman"/>
          <w:i/>
          <w:iCs/>
          <w:sz w:val="24"/>
          <w:szCs w:val="24"/>
        </w:rPr>
        <w:t>Сценарий на поетапна интеграция</w:t>
      </w:r>
      <w:r w:rsidRPr="0041044C">
        <w:rPr>
          <w:rFonts w:ascii="Times New Roman" w:hAnsi="Times New Roman" w:cs="Times New Roman"/>
          <w:sz w:val="24"/>
          <w:szCs w:val="24"/>
        </w:rPr>
        <w:t xml:space="preserve"> </w:t>
      </w:r>
      <w:r w:rsidR="00216225">
        <w:rPr>
          <w:rFonts w:ascii="Times New Roman" w:hAnsi="Times New Roman" w:cs="Times New Roman"/>
          <w:sz w:val="24"/>
          <w:szCs w:val="24"/>
        </w:rPr>
        <w:t>-</w:t>
      </w:r>
      <w:r w:rsidRPr="0041044C">
        <w:rPr>
          <w:rFonts w:ascii="Times New Roman" w:hAnsi="Times New Roman" w:cs="Times New Roman"/>
          <w:sz w:val="24"/>
          <w:szCs w:val="24"/>
        </w:rPr>
        <w:t xml:space="preserve"> най-вероятният вариант според анализите на Европейската комисия и Центъра за европейски политики (CEPS). Той предвижда държавите кандидати да се включват постепенно в отделни политики (например общ енергиен пазар, дигитална трансформация, обща външна политика), без да са още пълноправни членове. Така </w:t>
      </w:r>
      <w:r w:rsidRPr="0041044C">
        <w:rPr>
          <w:rFonts w:ascii="Times New Roman" w:hAnsi="Times New Roman" w:cs="Times New Roman"/>
          <w:sz w:val="24"/>
          <w:szCs w:val="24"/>
        </w:rPr>
        <w:lastRenderedPageBreak/>
        <w:t>се осигурява плавен преход и се намалява „</w:t>
      </w:r>
      <w:r w:rsidRPr="0076593F">
        <w:rPr>
          <w:rFonts w:ascii="Times New Roman" w:hAnsi="Times New Roman" w:cs="Times New Roman"/>
          <w:i/>
          <w:iCs/>
          <w:sz w:val="24"/>
          <w:szCs w:val="24"/>
        </w:rPr>
        <w:t>умората от разширяването</w:t>
      </w:r>
      <w:r w:rsidRPr="0041044C">
        <w:rPr>
          <w:rFonts w:ascii="Times New Roman" w:hAnsi="Times New Roman" w:cs="Times New Roman"/>
          <w:sz w:val="24"/>
          <w:szCs w:val="24"/>
        </w:rPr>
        <w:t>“ сред настоящите членки.</w:t>
      </w:r>
    </w:p>
    <w:p w14:paraId="694A1A87" w14:textId="77777777" w:rsidR="00FD458E" w:rsidRPr="00522DE3" w:rsidRDefault="00E020D6" w:rsidP="001F47B2">
      <w:pPr>
        <w:pStyle w:val="ListParagraph"/>
        <w:numPr>
          <w:ilvl w:val="1"/>
          <w:numId w:val="4"/>
        </w:numPr>
        <w:spacing w:after="0" w:line="360" w:lineRule="auto"/>
        <w:jc w:val="both"/>
        <w:rPr>
          <w:rFonts w:ascii="Times New Roman" w:hAnsi="Times New Roman" w:cs="Times New Roman"/>
          <w:i/>
          <w:iCs/>
          <w:sz w:val="24"/>
          <w:szCs w:val="24"/>
          <w:u w:val="single"/>
        </w:rPr>
      </w:pPr>
      <w:bookmarkStart w:id="18" w:name="five_three"/>
      <w:r>
        <w:rPr>
          <w:rFonts w:ascii="Times New Roman" w:hAnsi="Times New Roman" w:cs="Times New Roman"/>
          <w:sz w:val="24"/>
          <w:szCs w:val="24"/>
        </w:rPr>
        <w:t xml:space="preserve"> </w:t>
      </w:r>
      <w:r w:rsidR="00FD458E" w:rsidRPr="00522DE3">
        <w:rPr>
          <w:rFonts w:ascii="Times New Roman" w:hAnsi="Times New Roman" w:cs="Times New Roman"/>
          <w:i/>
          <w:iCs/>
          <w:sz w:val="24"/>
          <w:szCs w:val="24"/>
          <w:u w:val="single"/>
        </w:rPr>
        <w:t>Препоръки за преодоляване на „умората“ и засилване на обществената подкрепа</w:t>
      </w:r>
    </w:p>
    <w:bookmarkEnd w:id="18"/>
    <w:p w14:paraId="5AE89C29" w14:textId="77777777" w:rsidR="00FD458E" w:rsidRPr="00FD458E" w:rsidRDefault="00FD458E" w:rsidP="001F47B2">
      <w:pPr>
        <w:spacing w:after="0" w:line="360" w:lineRule="auto"/>
        <w:jc w:val="both"/>
        <w:rPr>
          <w:rFonts w:ascii="Times New Roman" w:hAnsi="Times New Roman" w:cs="Times New Roman"/>
          <w:sz w:val="24"/>
          <w:szCs w:val="24"/>
        </w:rPr>
      </w:pPr>
      <w:r w:rsidRPr="00FD458E">
        <w:rPr>
          <w:rFonts w:ascii="Times New Roman" w:hAnsi="Times New Roman" w:cs="Times New Roman"/>
          <w:sz w:val="24"/>
          <w:szCs w:val="24"/>
        </w:rPr>
        <w:t>За да бъде политиката на разширяване устойчива и ефективна, ЕС трябва да преодолее институционалните и психологическите бариери, довели до т.нар. „</w:t>
      </w:r>
      <w:r w:rsidRPr="0076593F">
        <w:rPr>
          <w:rFonts w:ascii="Times New Roman" w:hAnsi="Times New Roman" w:cs="Times New Roman"/>
          <w:i/>
          <w:iCs/>
          <w:sz w:val="24"/>
          <w:szCs w:val="24"/>
        </w:rPr>
        <w:t>умора от разширяването</w:t>
      </w:r>
      <w:r w:rsidRPr="00FD458E">
        <w:rPr>
          <w:rFonts w:ascii="Times New Roman" w:hAnsi="Times New Roman" w:cs="Times New Roman"/>
          <w:sz w:val="24"/>
          <w:szCs w:val="24"/>
        </w:rPr>
        <w:t>“. В тази връзка могат да бъдат очертани няколко основни насоки:</w:t>
      </w:r>
    </w:p>
    <w:p w14:paraId="28BBB90C" w14:textId="77777777" w:rsidR="00E020D6" w:rsidRDefault="00FD458E" w:rsidP="001F47B2">
      <w:pPr>
        <w:pStyle w:val="ListParagraph"/>
        <w:numPr>
          <w:ilvl w:val="0"/>
          <w:numId w:val="26"/>
        </w:numPr>
        <w:spacing w:after="0" w:line="360" w:lineRule="auto"/>
        <w:jc w:val="both"/>
        <w:rPr>
          <w:rFonts w:ascii="Times New Roman" w:hAnsi="Times New Roman" w:cs="Times New Roman"/>
          <w:sz w:val="24"/>
          <w:szCs w:val="24"/>
        </w:rPr>
      </w:pPr>
      <w:r w:rsidRPr="00E020D6">
        <w:rPr>
          <w:rFonts w:ascii="Times New Roman" w:hAnsi="Times New Roman" w:cs="Times New Roman"/>
          <w:sz w:val="24"/>
          <w:szCs w:val="24"/>
        </w:rPr>
        <w:t xml:space="preserve">Подобряване на комуникацията с гражданите </w:t>
      </w:r>
      <w:r w:rsidR="0076593F">
        <w:rPr>
          <w:rFonts w:ascii="Times New Roman" w:hAnsi="Times New Roman" w:cs="Times New Roman"/>
          <w:sz w:val="24"/>
          <w:szCs w:val="24"/>
        </w:rPr>
        <w:t xml:space="preserve">- </w:t>
      </w:r>
      <w:r w:rsidRPr="00E020D6">
        <w:rPr>
          <w:rFonts w:ascii="Times New Roman" w:hAnsi="Times New Roman" w:cs="Times New Roman"/>
          <w:sz w:val="24"/>
          <w:szCs w:val="24"/>
        </w:rPr>
        <w:t>ЕС следва по-ясно да обяснява ползите от разширяването, както за новите, така и за старите членки. Акцентът трябва да бъде върху общата сигурност, икономическите възможности и стабилността в региона.</w:t>
      </w:r>
    </w:p>
    <w:p w14:paraId="44B6C744" w14:textId="77777777" w:rsidR="00E020D6" w:rsidRDefault="00FD458E" w:rsidP="001F47B2">
      <w:pPr>
        <w:pStyle w:val="ListParagraph"/>
        <w:numPr>
          <w:ilvl w:val="0"/>
          <w:numId w:val="26"/>
        </w:numPr>
        <w:spacing w:after="0" w:line="360" w:lineRule="auto"/>
        <w:jc w:val="both"/>
        <w:rPr>
          <w:rFonts w:ascii="Times New Roman" w:hAnsi="Times New Roman" w:cs="Times New Roman"/>
          <w:sz w:val="24"/>
          <w:szCs w:val="24"/>
        </w:rPr>
      </w:pPr>
      <w:r w:rsidRPr="00E020D6">
        <w:rPr>
          <w:rFonts w:ascii="Times New Roman" w:hAnsi="Times New Roman" w:cs="Times New Roman"/>
          <w:sz w:val="24"/>
          <w:szCs w:val="24"/>
        </w:rPr>
        <w:t xml:space="preserve">Поетапен и условен подход </w:t>
      </w:r>
      <w:r w:rsidR="00784F2E">
        <w:rPr>
          <w:rFonts w:ascii="Times New Roman" w:hAnsi="Times New Roman" w:cs="Times New Roman"/>
          <w:sz w:val="24"/>
          <w:szCs w:val="24"/>
        </w:rPr>
        <w:t xml:space="preserve">- </w:t>
      </w:r>
      <w:r w:rsidRPr="00E020D6">
        <w:rPr>
          <w:rFonts w:ascii="Times New Roman" w:hAnsi="Times New Roman" w:cs="Times New Roman"/>
          <w:sz w:val="24"/>
          <w:szCs w:val="24"/>
        </w:rPr>
        <w:t>въвеждане на конкретни междинни етапи (например достъп до фондове или участие в съвети), които стимулират страните кандидати да продължат реформите и създават усещане за реален напредък.</w:t>
      </w:r>
    </w:p>
    <w:p w14:paraId="3307679A" w14:textId="77777777" w:rsidR="00E020D6" w:rsidRDefault="00FD458E" w:rsidP="001F47B2">
      <w:pPr>
        <w:pStyle w:val="ListParagraph"/>
        <w:numPr>
          <w:ilvl w:val="0"/>
          <w:numId w:val="26"/>
        </w:numPr>
        <w:spacing w:after="0" w:line="360" w:lineRule="auto"/>
        <w:jc w:val="both"/>
        <w:rPr>
          <w:rFonts w:ascii="Times New Roman" w:hAnsi="Times New Roman" w:cs="Times New Roman"/>
          <w:sz w:val="24"/>
          <w:szCs w:val="24"/>
        </w:rPr>
      </w:pPr>
      <w:r w:rsidRPr="00E020D6">
        <w:rPr>
          <w:rFonts w:ascii="Times New Roman" w:hAnsi="Times New Roman" w:cs="Times New Roman"/>
          <w:sz w:val="24"/>
          <w:szCs w:val="24"/>
        </w:rPr>
        <w:t xml:space="preserve">Институционална адаптация </w:t>
      </w:r>
      <w:r w:rsidR="00784F2E">
        <w:rPr>
          <w:rFonts w:ascii="Times New Roman" w:hAnsi="Times New Roman" w:cs="Times New Roman"/>
          <w:sz w:val="24"/>
          <w:szCs w:val="24"/>
        </w:rPr>
        <w:t>-</w:t>
      </w:r>
      <w:r w:rsidRPr="00E020D6">
        <w:rPr>
          <w:rFonts w:ascii="Times New Roman" w:hAnsi="Times New Roman" w:cs="Times New Roman"/>
          <w:sz w:val="24"/>
          <w:szCs w:val="24"/>
        </w:rPr>
        <w:t xml:space="preserve"> реформа на процеса на гласуване и разпределение на фондове, така че ЕС да остане управляем при бъдещи разширявания.</w:t>
      </w:r>
    </w:p>
    <w:p w14:paraId="3E1E4800" w14:textId="77777777" w:rsidR="00FD458E" w:rsidRPr="00E020D6" w:rsidRDefault="00FD458E" w:rsidP="001F47B2">
      <w:pPr>
        <w:pStyle w:val="ListParagraph"/>
        <w:numPr>
          <w:ilvl w:val="0"/>
          <w:numId w:val="26"/>
        </w:numPr>
        <w:spacing w:after="0" w:line="360" w:lineRule="auto"/>
        <w:jc w:val="both"/>
        <w:rPr>
          <w:rFonts w:ascii="Times New Roman" w:hAnsi="Times New Roman" w:cs="Times New Roman"/>
          <w:sz w:val="24"/>
          <w:szCs w:val="24"/>
        </w:rPr>
      </w:pPr>
      <w:r w:rsidRPr="00E020D6">
        <w:rPr>
          <w:rFonts w:ascii="Times New Roman" w:hAnsi="Times New Roman" w:cs="Times New Roman"/>
          <w:sz w:val="24"/>
          <w:szCs w:val="24"/>
        </w:rPr>
        <w:t xml:space="preserve">Укрепване на регионалното сътрудничество </w:t>
      </w:r>
      <w:r w:rsidR="00784F2E">
        <w:rPr>
          <w:rFonts w:ascii="Times New Roman" w:hAnsi="Times New Roman" w:cs="Times New Roman"/>
          <w:sz w:val="24"/>
          <w:szCs w:val="24"/>
        </w:rPr>
        <w:t>-</w:t>
      </w:r>
      <w:r w:rsidRPr="00E020D6">
        <w:rPr>
          <w:rFonts w:ascii="Times New Roman" w:hAnsi="Times New Roman" w:cs="Times New Roman"/>
          <w:sz w:val="24"/>
          <w:szCs w:val="24"/>
        </w:rPr>
        <w:t xml:space="preserve"> чрез формати като Берлинския процес и Съвета за регионално сътрудничество на Западните Балкани, които подготвят страните за реална интеграция.</w:t>
      </w:r>
    </w:p>
    <w:p w14:paraId="2ABD05A9" w14:textId="77777777" w:rsidR="00F32D3F" w:rsidRPr="00F32D3F" w:rsidRDefault="00FD458E" w:rsidP="001F47B2">
      <w:pPr>
        <w:spacing w:after="0" w:line="360" w:lineRule="auto"/>
        <w:jc w:val="both"/>
        <w:rPr>
          <w:rFonts w:ascii="Times New Roman" w:hAnsi="Times New Roman" w:cs="Times New Roman"/>
          <w:sz w:val="24"/>
          <w:szCs w:val="24"/>
        </w:rPr>
      </w:pPr>
      <w:r w:rsidRPr="00FD458E">
        <w:rPr>
          <w:rFonts w:ascii="Times New Roman" w:hAnsi="Times New Roman" w:cs="Times New Roman"/>
          <w:sz w:val="24"/>
          <w:szCs w:val="24"/>
        </w:rPr>
        <w:t xml:space="preserve">В дългосрочен план успехът на политиката на разширяване ще зависи от способността на ЕС да съчетае реализма с визията </w:t>
      </w:r>
      <w:r w:rsidR="00784F2E">
        <w:rPr>
          <w:rFonts w:ascii="Times New Roman" w:hAnsi="Times New Roman" w:cs="Times New Roman"/>
          <w:sz w:val="24"/>
          <w:szCs w:val="24"/>
        </w:rPr>
        <w:t>-</w:t>
      </w:r>
      <w:r w:rsidRPr="00FD458E">
        <w:rPr>
          <w:rFonts w:ascii="Times New Roman" w:hAnsi="Times New Roman" w:cs="Times New Roman"/>
          <w:sz w:val="24"/>
          <w:szCs w:val="24"/>
        </w:rPr>
        <w:t xml:space="preserve"> да запази амбицията за единна Европа, но с темпо, което гарантира стабилност и обществена подкрепа.</w:t>
      </w:r>
    </w:p>
    <w:p w14:paraId="308F002F" w14:textId="77777777" w:rsidR="004622A0" w:rsidRPr="006C1DCA" w:rsidRDefault="00762195" w:rsidP="001F47B2">
      <w:pPr>
        <w:pStyle w:val="ListParagraph"/>
        <w:numPr>
          <w:ilvl w:val="0"/>
          <w:numId w:val="4"/>
        </w:numPr>
        <w:spacing w:line="360" w:lineRule="auto"/>
        <w:ind w:firstLine="0"/>
        <w:jc w:val="both"/>
        <w:rPr>
          <w:rFonts w:ascii="Times New Roman" w:hAnsi="Times New Roman" w:cs="Times New Roman"/>
          <w:b/>
          <w:bCs/>
          <w:sz w:val="28"/>
          <w:szCs w:val="28"/>
        </w:rPr>
      </w:pPr>
      <w:bookmarkStart w:id="19" w:name="six"/>
      <w:r w:rsidRPr="006C1DCA">
        <w:rPr>
          <w:rFonts w:ascii="Times New Roman" w:hAnsi="Times New Roman" w:cs="Times New Roman"/>
          <w:b/>
          <w:bCs/>
          <w:sz w:val="28"/>
          <w:szCs w:val="28"/>
        </w:rPr>
        <w:t>Заключен</w:t>
      </w:r>
      <w:r w:rsidR="004622A0" w:rsidRPr="006C1DCA">
        <w:rPr>
          <w:rFonts w:ascii="Times New Roman" w:hAnsi="Times New Roman" w:cs="Times New Roman"/>
          <w:b/>
          <w:bCs/>
          <w:sz w:val="28"/>
          <w:szCs w:val="28"/>
        </w:rPr>
        <w:t>и</w:t>
      </w:r>
      <w:r w:rsidRPr="006C1DCA">
        <w:rPr>
          <w:rFonts w:ascii="Times New Roman" w:hAnsi="Times New Roman" w:cs="Times New Roman"/>
          <w:b/>
          <w:bCs/>
          <w:sz w:val="28"/>
          <w:szCs w:val="28"/>
        </w:rPr>
        <w:t>е</w:t>
      </w:r>
    </w:p>
    <w:bookmarkEnd w:id="19"/>
    <w:p w14:paraId="7906D21A"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Политиката на разширяване на Европейския съюз безспорно остава един от най-значимите и стратегически инструменти на европейската интеграция. От основаването на Европейската икономическа общност до наши дни тя се е превърнала в механизъм за обединяване на континента, насърчаване на демокрацията и гарантиране на сигурността и стабилността в Европа. Разширяването не е просто технически процес на приемане на нови членове, а израз на политическата воля на държавите членки да споделят общи ценности и цели.</w:t>
      </w:r>
    </w:p>
    <w:p w14:paraId="15B73725"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В проведеното изследване се откроиха няколко основни извода.</w:t>
      </w:r>
    </w:p>
    <w:p w14:paraId="30CB381F"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 xml:space="preserve">Първо, политиката на разширяване е тясно свързана с вътрешната еволюция на ЕС </w:t>
      </w:r>
      <w:r w:rsidR="00BE68DB">
        <w:rPr>
          <w:rFonts w:ascii="Times New Roman" w:hAnsi="Times New Roman" w:cs="Times New Roman"/>
          <w:sz w:val="24"/>
          <w:szCs w:val="24"/>
        </w:rPr>
        <w:t>-</w:t>
      </w:r>
      <w:r w:rsidRPr="00D7673E">
        <w:rPr>
          <w:rFonts w:ascii="Times New Roman" w:hAnsi="Times New Roman" w:cs="Times New Roman"/>
          <w:sz w:val="24"/>
          <w:szCs w:val="24"/>
        </w:rPr>
        <w:t xml:space="preserve"> всяка нова вълна от членства поражда необходимост от институционални и управленски реформи. Така процесът на разширяване неизбежно върви успоредно със задълбочаването на интеграцията.</w:t>
      </w:r>
    </w:p>
    <w:p w14:paraId="7F34C125"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Второ, „</w:t>
      </w:r>
      <w:r w:rsidRPr="00BE68DB">
        <w:rPr>
          <w:rFonts w:ascii="Times New Roman" w:hAnsi="Times New Roman" w:cs="Times New Roman"/>
          <w:i/>
          <w:iCs/>
          <w:sz w:val="24"/>
          <w:szCs w:val="24"/>
        </w:rPr>
        <w:t>умората от разширяването</w:t>
      </w:r>
      <w:r w:rsidRPr="00D7673E">
        <w:rPr>
          <w:rFonts w:ascii="Times New Roman" w:hAnsi="Times New Roman" w:cs="Times New Roman"/>
          <w:sz w:val="24"/>
          <w:szCs w:val="24"/>
        </w:rPr>
        <w:t xml:space="preserve">“ е реален феномен, но не в смисъл на отказ от политиката, а по-скоро като симптом на адаптация </w:t>
      </w:r>
      <w:r w:rsidR="00E71CF9">
        <w:rPr>
          <w:rFonts w:ascii="Times New Roman" w:hAnsi="Times New Roman" w:cs="Times New Roman"/>
          <w:sz w:val="24"/>
          <w:szCs w:val="24"/>
        </w:rPr>
        <w:t>-</w:t>
      </w:r>
      <w:r w:rsidRPr="00D7673E">
        <w:rPr>
          <w:rFonts w:ascii="Times New Roman" w:hAnsi="Times New Roman" w:cs="Times New Roman"/>
          <w:sz w:val="24"/>
          <w:szCs w:val="24"/>
        </w:rPr>
        <w:t xml:space="preserve"> резултат от натрупаните икономически, политически и социални предизвикателства. Тя отразява стремежа на Съюза да намери равновесие между външното си разширяване и вътрешната си устойчивост.</w:t>
      </w:r>
    </w:p>
    <w:p w14:paraId="25E29803"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lastRenderedPageBreak/>
        <w:t>Трето, бъдещето на тази политика все по-често се свързва с поетапни, диференцирани форми на интеграция, които позволяват плавен преход на държавите кандидати към пълноправно членство, без да се натоварват институционалните механизми на ЕС.</w:t>
      </w:r>
    </w:p>
    <w:p w14:paraId="00EE7067"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По въпроса дали „</w:t>
      </w:r>
      <w:r w:rsidRPr="00E71CF9">
        <w:rPr>
          <w:rFonts w:ascii="Times New Roman" w:hAnsi="Times New Roman" w:cs="Times New Roman"/>
          <w:i/>
          <w:iCs/>
          <w:sz w:val="24"/>
          <w:szCs w:val="24"/>
        </w:rPr>
        <w:t>умората от разширяването</w:t>
      </w:r>
      <w:r w:rsidRPr="00D7673E">
        <w:rPr>
          <w:rFonts w:ascii="Times New Roman" w:hAnsi="Times New Roman" w:cs="Times New Roman"/>
          <w:sz w:val="24"/>
          <w:szCs w:val="24"/>
        </w:rPr>
        <w:t>“ е трайна реалност или временен феномен, може да се заключи, че тя има временен, цикличен характер. Историята на европейската интеграция показва, че периодите на застой често са последвани от нови импулси за разширяване, продиктувани от геополитическата динамика и вътрешните трансформации на Съюза. В този смисъл „</w:t>
      </w:r>
      <w:r w:rsidRPr="00E71CF9">
        <w:rPr>
          <w:rFonts w:ascii="Times New Roman" w:hAnsi="Times New Roman" w:cs="Times New Roman"/>
          <w:i/>
          <w:iCs/>
          <w:sz w:val="24"/>
          <w:szCs w:val="24"/>
        </w:rPr>
        <w:t>умората</w:t>
      </w:r>
      <w:r w:rsidRPr="00D7673E">
        <w:rPr>
          <w:rFonts w:ascii="Times New Roman" w:hAnsi="Times New Roman" w:cs="Times New Roman"/>
          <w:sz w:val="24"/>
          <w:szCs w:val="24"/>
        </w:rPr>
        <w:t>“ не е отказ от идеята за обединена Европа, а фаза на преосмисляне и стратегическо пренастройване.</w:t>
      </w:r>
    </w:p>
    <w:p w14:paraId="565AD391" w14:textId="77777777" w:rsidR="00D7673E"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От гледна точка на автор</w:t>
      </w:r>
      <w:r w:rsidR="00E71CF9">
        <w:rPr>
          <w:rFonts w:ascii="Times New Roman" w:hAnsi="Times New Roman" w:cs="Times New Roman"/>
          <w:sz w:val="24"/>
          <w:szCs w:val="24"/>
        </w:rPr>
        <w:t>ите</w:t>
      </w:r>
      <w:r w:rsidRPr="00D7673E">
        <w:rPr>
          <w:rFonts w:ascii="Times New Roman" w:hAnsi="Times New Roman" w:cs="Times New Roman"/>
          <w:sz w:val="24"/>
          <w:szCs w:val="24"/>
        </w:rPr>
        <w:t xml:space="preserve">, бъдещето на ЕС изисква нов подход към разширяването </w:t>
      </w:r>
      <w:r w:rsidR="00F33B65">
        <w:rPr>
          <w:rFonts w:ascii="Times New Roman" w:hAnsi="Times New Roman" w:cs="Times New Roman"/>
          <w:sz w:val="24"/>
          <w:szCs w:val="24"/>
        </w:rPr>
        <w:t>-</w:t>
      </w:r>
      <w:r w:rsidRPr="00D7673E">
        <w:rPr>
          <w:rFonts w:ascii="Times New Roman" w:hAnsi="Times New Roman" w:cs="Times New Roman"/>
          <w:sz w:val="24"/>
          <w:szCs w:val="24"/>
        </w:rPr>
        <w:t xml:space="preserve"> по-гъвкав, по-реалистичен и по-ориентиран към резултати. ЕС трябва да комбинира принципите на условност и солидарност, като същевременно поддържа доверие сред гражданите на държавите членки и мотивация сред страните кандидати.</w:t>
      </w:r>
      <w:r w:rsidR="00F33B65">
        <w:rPr>
          <w:rFonts w:ascii="Times New Roman" w:hAnsi="Times New Roman" w:cs="Times New Roman"/>
          <w:sz w:val="24"/>
          <w:szCs w:val="24"/>
        </w:rPr>
        <w:t xml:space="preserve"> </w:t>
      </w:r>
      <w:r w:rsidRPr="00D7673E">
        <w:rPr>
          <w:rFonts w:ascii="Times New Roman" w:hAnsi="Times New Roman" w:cs="Times New Roman"/>
          <w:sz w:val="24"/>
          <w:szCs w:val="24"/>
        </w:rPr>
        <w:t>Само така Съюзът може да съхрани своята привлекателност и да продължи да бъде фактор за стабилност и демокрация в един несигурен и многополюсен свят.</w:t>
      </w:r>
    </w:p>
    <w:p w14:paraId="75734BB3" w14:textId="77777777" w:rsidR="0DCE4BCA" w:rsidRPr="00D7673E" w:rsidRDefault="00D7673E" w:rsidP="001F47B2">
      <w:pPr>
        <w:spacing w:after="0" w:line="360" w:lineRule="auto"/>
        <w:jc w:val="both"/>
        <w:rPr>
          <w:rFonts w:ascii="Times New Roman" w:hAnsi="Times New Roman" w:cs="Times New Roman"/>
          <w:sz w:val="24"/>
          <w:szCs w:val="24"/>
        </w:rPr>
      </w:pPr>
      <w:r w:rsidRPr="00D7673E">
        <w:rPr>
          <w:rFonts w:ascii="Times New Roman" w:hAnsi="Times New Roman" w:cs="Times New Roman"/>
          <w:sz w:val="24"/>
          <w:szCs w:val="24"/>
        </w:rPr>
        <w:t xml:space="preserve">В заключение, разширяването и задълбочаването на интеграцията не са взаимно изключващи се процеси, а взаимнодопълващи се направления на развитие. Успехът на Европейския съюз ще зависи от способността му да ги съчетае хармонично </w:t>
      </w:r>
      <w:r w:rsidR="00F33B65">
        <w:rPr>
          <w:rFonts w:ascii="Times New Roman" w:hAnsi="Times New Roman" w:cs="Times New Roman"/>
          <w:sz w:val="24"/>
          <w:szCs w:val="24"/>
        </w:rPr>
        <w:t>-</w:t>
      </w:r>
      <w:r w:rsidRPr="00D7673E">
        <w:rPr>
          <w:rFonts w:ascii="Times New Roman" w:hAnsi="Times New Roman" w:cs="Times New Roman"/>
          <w:sz w:val="24"/>
          <w:szCs w:val="24"/>
        </w:rPr>
        <w:t xml:space="preserve"> да продължи да се разширява, като същевременно укрепва своето вътрешно единство, институционална ефективност и стратегическа визия за бъдещето.</w:t>
      </w:r>
    </w:p>
    <w:p w14:paraId="632BF827" w14:textId="77777777" w:rsidR="0097335F" w:rsidRPr="0097335F" w:rsidRDefault="00C25B2D" w:rsidP="001F47B2">
      <w:pPr>
        <w:pStyle w:val="ListParagraph"/>
        <w:numPr>
          <w:ilvl w:val="0"/>
          <w:numId w:val="4"/>
        </w:numPr>
        <w:spacing w:before="240" w:line="360" w:lineRule="auto"/>
        <w:ind w:firstLine="0"/>
        <w:jc w:val="both"/>
        <w:rPr>
          <w:rFonts w:ascii="Times New Roman" w:hAnsi="Times New Roman" w:cs="Times New Roman"/>
          <w:b/>
          <w:bCs/>
          <w:sz w:val="28"/>
          <w:szCs w:val="28"/>
        </w:rPr>
      </w:pPr>
      <w:bookmarkStart w:id="20" w:name="seven"/>
      <w:r>
        <w:rPr>
          <w:rFonts w:ascii="Times New Roman" w:hAnsi="Times New Roman" w:cs="Times New Roman"/>
          <w:b/>
          <w:bCs/>
          <w:sz w:val="28"/>
          <w:szCs w:val="28"/>
        </w:rPr>
        <w:t>Библиография</w:t>
      </w:r>
      <w:r w:rsidR="0097335F" w:rsidRPr="0097335F">
        <w:rPr>
          <w:color w:val="000000"/>
        </w:rPr>
        <w:t> </w:t>
      </w:r>
    </w:p>
    <w:bookmarkEnd w:id="20"/>
    <w:p w14:paraId="28DBE030" w14:textId="77777777" w:rsidR="004B6D0B" w:rsidRPr="004B6D0B" w:rsidRDefault="004B6D0B" w:rsidP="00E51291">
      <w:pPr>
        <w:pStyle w:val="NormalWeb"/>
        <w:numPr>
          <w:ilvl w:val="0"/>
          <w:numId w:val="29"/>
        </w:numPr>
        <w:spacing w:before="0" w:beforeAutospacing="0" w:line="360" w:lineRule="auto"/>
        <w:ind w:firstLine="0"/>
        <w:jc w:val="both"/>
        <w:rPr>
          <w:rStyle w:val="s4"/>
          <w:color w:val="000000"/>
          <w:lang w:val="bg-BG"/>
        </w:rPr>
      </w:pPr>
      <w:r w:rsidRPr="004B6D0B">
        <w:rPr>
          <w:rStyle w:val="s4"/>
          <w:color w:val="000000"/>
          <w:lang w:val="bg-BG"/>
        </w:rPr>
        <w:t xml:space="preserve">Европейска комисия (2018). </w:t>
      </w:r>
      <w:r w:rsidRPr="004B6D0B">
        <w:rPr>
          <w:rStyle w:val="s4"/>
          <w:i/>
          <w:iCs/>
          <w:color w:val="000000"/>
          <w:lang w:val="bg-BG"/>
        </w:rPr>
        <w:t>Комуникация Относно Стратегията на ЕС за Западните Балкани</w:t>
      </w:r>
      <w:r w:rsidR="00E51291">
        <w:rPr>
          <w:rStyle w:val="s4"/>
          <w:i/>
          <w:iCs/>
          <w:color w:val="000000"/>
          <w:lang w:val="bg-BG"/>
        </w:rPr>
        <w:t>.</w:t>
      </w:r>
      <w:r w:rsidR="00E51291">
        <w:rPr>
          <w:rStyle w:val="s4"/>
          <w:color w:val="000000"/>
          <w:lang w:val="bg-BG"/>
        </w:rPr>
        <w:t xml:space="preserve"> </w:t>
      </w:r>
      <w:r w:rsidRPr="004B6D0B">
        <w:rPr>
          <w:rStyle w:val="s4"/>
          <w:color w:val="000000"/>
          <w:lang w:val="bg-BG"/>
        </w:rPr>
        <w:t>[online] Europa.eu. Available at: https://eur-lex.europa.eu/legal-content/BG/TXT/?uri=CELEX%3A52018DC0065&amp;qid=1760872737702 [Accessed 1</w:t>
      </w:r>
      <w:r>
        <w:rPr>
          <w:rStyle w:val="s4"/>
          <w:color w:val="000000"/>
          <w:lang w:val="bg-BG"/>
        </w:rPr>
        <w:t>7</w:t>
      </w:r>
      <w:r w:rsidRPr="004B6D0B">
        <w:rPr>
          <w:rStyle w:val="s4"/>
          <w:color w:val="000000"/>
          <w:lang w:val="bg-BG"/>
        </w:rPr>
        <w:t xml:space="preserve"> Oct. 2025].</w:t>
      </w:r>
    </w:p>
    <w:p w14:paraId="16345A1F"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Европейска комисия (2023). </w:t>
      </w:r>
      <w:r w:rsidRPr="004B6D0B">
        <w:rPr>
          <w:rStyle w:val="s4"/>
          <w:i/>
          <w:iCs/>
          <w:color w:val="000000"/>
          <w:lang w:val="bg-BG"/>
        </w:rPr>
        <w:t>Съобщение Относно Политиката на ЕС за Разширяване за 2023 г.</w:t>
      </w:r>
      <w:r w:rsidRPr="004B6D0B">
        <w:rPr>
          <w:rStyle w:val="s4"/>
          <w:color w:val="000000"/>
          <w:lang w:val="bg-BG"/>
        </w:rPr>
        <w:t xml:space="preserve"> [online] Europa.eu. Available at: https://eur-lex.europa.eu/legal-content/BG/TXT/?uri=CELEX:52023DC0690 [Accessed 19 Oct. 2025].</w:t>
      </w:r>
    </w:p>
    <w:p w14:paraId="71721214"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Европейски съюз (2022). </w:t>
      </w:r>
      <w:r w:rsidRPr="004B6D0B">
        <w:rPr>
          <w:rStyle w:val="s4"/>
          <w:i/>
          <w:iCs/>
          <w:color w:val="000000"/>
          <w:lang w:val="bg-BG"/>
        </w:rPr>
        <w:t>Разширяване на ЕС</w:t>
      </w:r>
      <w:r w:rsidRPr="004B6D0B">
        <w:rPr>
          <w:rStyle w:val="s4"/>
          <w:color w:val="000000"/>
          <w:lang w:val="bg-BG"/>
        </w:rPr>
        <w:t>. [online] European Union. Available at: https://european-union.europa.eu/principles-countries-history/eu-enlargement_bg [Accessed 1</w:t>
      </w:r>
      <w:r>
        <w:rPr>
          <w:rStyle w:val="s4"/>
          <w:color w:val="000000"/>
          <w:lang w:val="bg-BG"/>
        </w:rPr>
        <w:t>5</w:t>
      </w:r>
      <w:r w:rsidRPr="004B6D0B">
        <w:rPr>
          <w:rStyle w:val="s4"/>
          <w:color w:val="000000"/>
          <w:lang w:val="bg-BG"/>
        </w:rPr>
        <w:t xml:space="preserve"> Oct. 2025].</w:t>
      </w:r>
    </w:p>
    <w:p w14:paraId="402C79A9" w14:textId="77777777" w:rsidR="004B6D0B" w:rsidRPr="004B6D0B" w:rsidRDefault="004B6D0B" w:rsidP="00E51291">
      <w:pPr>
        <w:pStyle w:val="NormalWeb"/>
        <w:numPr>
          <w:ilvl w:val="0"/>
          <w:numId w:val="29"/>
        </w:numPr>
        <w:spacing w:line="360" w:lineRule="auto"/>
        <w:ind w:firstLine="0"/>
        <w:jc w:val="both"/>
        <w:rPr>
          <w:rStyle w:val="s4"/>
          <w:color w:val="000000"/>
          <w:lang w:val="en-GB"/>
        </w:rPr>
      </w:pPr>
      <w:r w:rsidRPr="004B6D0B">
        <w:rPr>
          <w:rStyle w:val="s4"/>
          <w:color w:val="000000"/>
          <w:lang w:val="bg-BG"/>
        </w:rPr>
        <w:t xml:space="preserve">Панайотова, М. (2023). </w:t>
      </w:r>
      <w:r w:rsidRPr="004B6D0B">
        <w:rPr>
          <w:rStyle w:val="s4"/>
          <w:i/>
          <w:iCs/>
          <w:color w:val="000000"/>
          <w:lang w:val="bg-BG"/>
        </w:rPr>
        <w:t xml:space="preserve">ПОЛИТИКАТА ЗА РАЗШИРЯВАНЕ НА ЕВРОПЕЙСКИЯ СЪЮЗ - НАСТОЯЩЕ И БЪДЕЩЕ В КОНТЕКСТА НА ВОЙНАТА В УКРАЙНА 2022. </w:t>
      </w:r>
      <w:r w:rsidRPr="004B6D0B">
        <w:rPr>
          <w:rStyle w:val="s4"/>
          <w:color w:val="000000"/>
          <w:lang w:val="bg-BG"/>
        </w:rPr>
        <w:t xml:space="preserve">[online] pp.161–188. doi:https://doi.org/10.37075/rp.2023.1.14. </w:t>
      </w:r>
    </w:p>
    <w:p w14:paraId="05440D8F"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Съвет на ЕС (2021). </w:t>
      </w:r>
      <w:r w:rsidRPr="004B6D0B">
        <w:rPr>
          <w:rStyle w:val="s4"/>
          <w:i/>
          <w:iCs/>
          <w:color w:val="000000"/>
          <w:lang w:val="bg-BG"/>
        </w:rPr>
        <w:t xml:space="preserve">Декларация от Тирана - Среща на Върха ЕС-Западни Балкани. </w:t>
      </w:r>
      <w:r w:rsidRPr="004B6D0B">
        <w:rPr>
          <w:rStyle w:val="s4"/>
          <w:color w:val="000000"/>
          <w:lang w:val="bg-BG"/>
        </w:rPr>
        <w:t>[online] Europa.eu. Available at: https://www.consilium.europa.eu/bg/press/press-releases/2022/12/06/tirana-declaration-6-december-2022/ [Accessed 19 Oct. 2025].</w:t>
      </w:r>
    </w:p>
    <w:p w14:paraId="1EC8CD2A"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lastRenderedPageBreak/>
        <w:t xml:space="preserve">Blockmans, S. and Prechal, S. (2007). </w:t>
      </w:r>
      <w:r w:rsidRPr="004B6D0B">
        <w:rPr>
          <w:rStyle w:val="s4"/>
          <w:i/>
          <w:iCs/>
          <w:color w:val="000000"/>
          <w:lang w:val="bg-BG"/>
        </w:rPr>
        <w:t>Reconciling the Deepening and Widening of the European Union.</w:t>
      </w:r>
      <w:r w:rsidRPr="004B6D0B">
        <w:rPr>
          <w:rStyle w:val="s4"/>
          <w:color w:val="000000"/>
          <w:lang w:val="bg-BG"/>
        </w:rPr>
        <w:t xml:space="preserve"> T.M.C. Asser Press.</w:t>
      </w:r>
    </w:p>
    <w:p w14:paraId="1873902A" w14:textId="3E0314F5"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Bonomi, M. and Mastrorocco, R. (2024). </w:t>
      </w:r>
      <w:r w:rsidRPr="004B6D0B">
        <w:rPr>
          <w:rStyle w:val="s4"/>
          <w:i/>
          <w:iCs/>
          <w:color w:val="000000"/>
          <w:lang w:val="bg-BG"/>
        </w:rPr>
        <w:t xml:space="preserve">Reforming by Hope, Will or Necessity? EU Integration in Times of Enlargement. </w:t>
      </w:r>
      <w:r w:rsidRPr="004B6D0B">
        <w:rPr>
          <w:rStyle w:val="s4"/>
          <w:color w:val="000000"/>
          <w:lang w:val="bg-BG"/>
        </w:rPr>
        <w:t xml:space="preserve">[online] Instituto Affari Internazionali. Available at: https://www.iai.it/sites/default/files/iaicom2464.pdf [Accessed </w:t>
      </w:r>
      <w:r w:rsidR="0030384C">
        <w:rPr>
          <w:rStyle w:val="s4"/>
          <w:color w:val="000000"/>
          <w:lang w:val="bg-BG"/>
        </w:rPr>
        <w:t>21</w:t>
      </w:r>
      <w:r w:rsidRPr="004B6D0B">
        <w:rPr>
          <w:rStyle w:val="s4"/>
          <w:color w:val="000000"/>
          <w:lang w:val="bg-BG"/>
        </w:rPr>
        <w:t xml:space="preserve"> Oct. 2025].</w:t>
      </w:r>
    </w:p>
    <w:p w14:paraId="246E4ECF" w14:textId="77777777" w:rsidR="007C1C5C" w:rsidRPr="007C1C5C" w:rsidRDefault="007C1C5C"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European Commission (2025). </w:t>
      </w:r>
      <w:r w:rsidRPr="004B6D0B">
        <w:rPr>
          <w:rStyle w:val="s4"/>
          <w:i/>
          <w:iCs/>
          <w:color w:val="000000"/>
          <w:lang w:val="bg-BG"/>
        </w:rPr>
        <w:t xml:space="preserve">Eurobarometer </w:t>
      </w:r>
      <w:r w:rsidRPr="004B6D0B">
        <w:rPr>
          <w:rStyle w:val="s4"/>
          <w:i/>
          <w:iCs/>
          <w:color w:val="000000"/>
          <w:lang w:val="en-GB"/>
        </w:rPr>
        <w:t>Survey 2025</w:t>
      </w:r>
      <w:r w:rsidRPr="004B6D0B">
        <w:rPr>
          <w:rStyle w:val="s4"/>
          <w:color w:val="000000"/>
          <w:lang w:val="bg-BG"/>
        </w:rPr>
        <w:t>. [online] Europa.eu. Available at: https://europa.eu/eurobarometer/surveys/detail/3413 [Accessed 19 Oct. 2025].</w:t>
      </w:r>
    </w:p>
    <w:p w14:paraId="36D233D7"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European Commission (2024). </w:t>
      </w:r>
      <w:r w:rsidRPr="004B6D0B">
        <w:rPr>
          <w:rStyle w:val="s4"/>
          <w:i/>
          <w:iCs/>
          <w:color w:val="000000"/>
          <w:lang w:val="bg-BG"/>
        </w:rPr>
        <w:t>Overview - Instrument for Pre-accession Assistance.</w:t>
      </w:r>
      <w:r w:rsidRPr="004B6D0B">
        <w:rPr>
          <w:rStyle w:val="s4"/>
          <w:color w:val="000000"/>
          <w:lang w:val="bg-BG"/>
        </w:rPr>
        <w:t xml:space="preserve"> [online] Enlargement and Eastern Neighbourhood. Available at: https://enlargement.ec.europa.eu/enlargement-policy/overview-instrument-pre-accession-assistance_en [Accessed 1</w:t>
      </w:r>
      <w:r>
        <w:rPr>
          <w:rStyle w:val="s4"/>
          <w:color w:val="000000"/>
          <w:lang w:val="bg-BG"/>
        </w:rPr>
        <w:t>6</w:t>
      </w:r>
      <w:r w:rsidRPr="004B6D0B">
        <w:rPr>
          <w:rStyle w:val="s4"/>
          <w:color w:val="000000"/>
          <w:lang w:val="bg-BG"/>
        </w:rPr>
        <w:t xml:space="preserve"> Oct. 2025].</w:t>
      </w:r>
    </w:p>
    <w:p w14:paraId="391B9460" w14:textId="73102E31"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European Commission (2024). </w:t>
      </w:r>
      <w:r w:rsidRPr="004B6D0B">
        <w:rPr>
          <w:rStyle w:val="s4"/>
          <w:i/>
          <w:iCs/>
          <w:color w:val="000000"/>
          <w:lang w:val="bg-BG"/>
        </w:rPr>
        <w:t xml:space="preserve">Strategy and Reports. </w:t>
      </w:r>
      <w:r w:rsidRPr="004B6D0B">
        <w:rPr>
          <w:rStyle w:val="s4"/>
          <w:color w:val="000000"/>
          <w:lang w:val="bg-BG"/>
        </w:rPr>
        <w:t xml:space="preserve">[online] Enlargement and Eastern Neighbourhood. Available at: https://enlargement.ec.europa.eu/enlargement-policy/strategy-and-reports_en [Accessed </w:t>
      </w:r>
      <w:r w:rsidR="0030384C">
        <w:rPr>
          <w:rStyle w:val="s4"/>
          <w:color w:val="000000"/>
          <w:lang w:val="bg-BG"/>
        </w:rPr>
        <w:t>24</w:t>
      </w:r>
      <w:r w:rsidRPr="004B6D0B">
        <w:rPr>
          <w:rStyle w:val="s4"/>
          <w:color w:val="000000"/>
          <w:lang w:val="bg-BG"/>
        </w:rPr>
        <w:t xml:space="preserve"> Oct. 2025].</w:t>
      </w:r>
    </w:p>
    <w:p w14:paraId="7217F579"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European Union Institute for Security Studies (2025). </w:t>
      </w:r>
      <w:r w:rsidRPr="004B6D0B">
        <w:rPr>
          <w:rStyle w:val="s4"/>
          <w:i/>
          <w:iCs/>
          <w:color w:val="000000"/>
          <w:lang w:val="bg-BG"/>
        </w:rPr>
        <w:t>EU Enlargement and integration: Voices of Support and Scepticism.</w:t>
      </w:r>
      <w:r w:rsidRPr="004B6D0B">
        <w:rPr>
          <w:rStyle w:val="s4"/>
          <w:color w:val="000000"/>
          <w:lang w:val="bg-BG"/>
        </w:rPr>
        <w:t xml:space="preserve"> [online] EUISS. Available at: https://www.iss.europa.eu/publications/briefs/eu-enlargement-and-integration-voices-support-and-scepticism [Accessed 19 Oct. 2025].</w:t>
      </w:r>
    </w:p>
    <w:p w14:paraId="1C31118E" w14:textId="77777777" w:rsidR="004B6D0B" w:rsidRPr="004B6D0B" w:rsidRDefault="004B6D0B" w:rsidP="00E51291">
      <w:pPr>
        <w:pStyle w:val="NormalWeb"/>
        <w:numPr>
          <w:ilvl w:val="0"/>
          <w:numId w:val="29"/>
        </w:numPr>
        <w:spacing w:line="360" w:lineRule="auto"/>
        <w:ind w:firstLine="0"/>
        <w:jc w:val="both"/>
        <w:rPr>
          <w:rStyle w:val="s4"/>
          <w:color w:val="000000"/>
          <w:lang w:val="bg-BG"/>
        </w:rPr>
      </w:pPr>
      <w:r w:rsidRPr="004B6D0B">
        <w:rPr>
          <w:rStyle w:val="s4"/>
          <w:color w:val="000000"/>
          <w:lang w:val="bg-BG"/>
        </w:rPr>
        <w:t>Frank Schimmelfennig and Ulrich Sedelmeier (2005). The</w:t>
      </w:r>
      <w:r w:rsidRPr="004B6D0B">
        <w:rPr>
          <w:rStyle w:val="s4"/>
          <w:i/>
          <w:iCs/>
          <w:color w:val="000000"/>
          <w:lang w:val="bg-BG"/>
        </w:rPr>
        <w:t xml:space="preserve"> Europeanization of Central and Eastern Europe.</w:t>
      </w:r>
      <w:r w:rsidRPr="004B6D0B">
        <w:rPr>
          <w:rStyle w:val="s4"/>
          <w:color w:val="000000"/>
          <w:lang w:val="bg-BG"/>
        </w:rPr>
        <w:t xml:space="preserve"> Ithaca: Cornell University Press.</w:t>
      </w:r>
    </w:p>
    <w:p w14:paraId="0E7C0300" w14:textId="77777777" w:rsidR="0030384C" w:rsidRDefault="004B6D0B" w:rsidP="0030384C">
      <w:pPr>
        <w:pStyle w:val="NormalWeb"/>
        <w:numPr>
          <w:ilvl w:val="0"/>
          <w:numId w:val="29"/>
        </w:numPr>
        <w:spacing w:line="360" w:lineRule="auto"/>
        <w:ind w:firstLine="0"/>
        <w:jc w:val="both"/>
        <w:rPr>
          <w:rStyle w:val="s4"/>
          <w:color w:val="000000"/>
          <w:lang w:val="bg-BG"/>
        </w:rPr>
      </w:pPr>
      <w:r w:rsidRPr="004B6D0B">
        <w:rPr>
          <w:rStyle w:val="s4"/>
          <w:color w:val="000000"/>
          <w:lang w:val="bg-BG"/>
        </w:rPr>
        <w:t xml:space="preserve">Grabbe, H. (2005). </w:t>
      </w:r>
      <w:r w:rsidRPr="004B6D0B">
        <w:rPr>
          <w:rStyle w:val="s4"/>
          <w:i/>
          <w:iCs/>
          <w:color w:val="000000"/>
          <w:lang w:val="bg-BG"/>
        </w:rPr>
        <w:t>The EU’s Transformative Power: Europeanization through Conditionality in Central and Eastern Europe</w:t>
      </w:r>
      <w:r w:rsidRPr="004B6D0B">
        <w:rPr>
          <w:rStyle w:val="s4"/>
          <w:color w:val="000000"/>
          <w:lang w:val="bg-BG"/>
        </w:rPr>
        <w:t>. New York: Springer.</w:t>
      </w:r>
    </w:p>
    <w:p w14:paraId="7ABF8161" w14:textId="2E82FDE7" w:rsidR="0030384C" w:rsidRPr="004B6D0B" w:rsidRDefault="004B6D0B" w:rsidP="0030384C">
      <w:pPr>
        <w:pStyle w:val="NormalWeb"/>
        <w:numPr>
          <w:ilvl w:val="0"/>
          <w:numId w:val="29"/>
        </w:numPr>
        <w:spacing w:line="360" w:lineRule="auto"/>
        <w:ind w:firstLine="0"/>
        <w:jc w:val="both"/>
        <w:rPr>
          <w:rStyle w:val="s4"/>
          <w:color w:val="000000"/>
          <w:lang w:val="bg-BG"/>
        </w:rPr>
      </w:pPr>
      <w:r w:rsidRPr="0030384C">
        <w:rPr>
          <w:rStyle w:val="s4"/>
          <w:color w:val="000000"/>
          <w:lang w:val="bg-BG"/>
        </w:rPr>
        <w:t xml:space="preserve">Statista (2022). </w:t>
      </w:r>
      <w:r w:rsidRPr="0030384C">
        <w:rPr>
          <w:rStyle w:val="s4"/>
          <w:i/>
          <w:iCs/>
          <w:color w:val="000000"/>
          <w:lang w:val="bg-BG"/>
        </w:rPr>
        <w:t>Infographic: Ukraine Becomes Official EU Membership Candidate.</w:t>
      </w:r>
      <w:r w:rsidRPr="0030384C">
        <w:rPr>
          <w:rStyle w:val="s4"/>
          <w:color w:val="000000"/>
          <w:lang w:val="bg-BG"/>
        </w:rPr>
        <w:t xml:space="preserve"> [online] Statista Infographics. Available at: </w:t>
      </w:r>
      <w:hyperlink r:id="rId12" w:history="1">
        <w:r w:rsidR="0002246B" w:rsidRPr="006605CA">
          <w:rPr>
            <w:rStyle w:val="Hyperlink"/>
            <w:lang w:val="bg-BG"/>
          </w:rPr>
          <w:t>https://www.statista.com/chart/27678/eu-member-states-and-</w:t>
        </w:r>
        <w:r w:rsidR="0002246B" w:rsidRPr="006605CA">
          <w:rPr>
            <w:rStyle w:val="Hyperlink"/>
            <w:lang w:val="en-GB"/>
          </w:rPr>
          <w:t>candidates/</w:t>
        </w:r>
      </w:hyperlink>
      <w:r w:rsidR="0002246B">
        <w:rPr>
          <w:rStyle w:val="s4"/>
          <w:color w:val="000000"/>
          <w:lang w:val="bg-BG"/>
        </w:rPr>
        <w:t xml:space="preserve"> </w:t>
      </w:r>
      <w:r w:rsidR="0030384C" w:rsidRPr="004B6D0B">
        <w:rPr>
          <w:rStyle w:val="s4"/>
          <w:color w:val="000000"/>
          <w:lang w:val="bg-BG"/>
        </w:rPr>
        <w:t xml:space="preserve">[Accessed </w:t>
      </w:r>
      <w:r w:rsidR="0002246B">
        <w:rPr>
          <w:rStyle w:val="s4"/>
          <w:color w:val="000000"/>
          <w:lang w:val="bg-BG"/>
        </w:rPr>
        <w:t>29</w:t>
      </w:r>
      <w:r w:rsidR="0030384C" w:rsidRPr="004B6D0B">
        <w:rPr>
          <w:rStyle w:val="s4"/>
          <w:color w:val="000000"/>
          <w:lang w:val="bg-BG"/>
        </w:rPr>
        <w:t xml:space="preserve"> Oct. 2025].</w:t>
      </w:r>
    </w:p>
    <w:p w14:paraId="0D5238C3" w14:textId="1FD3623F" w:rsidR="00CE2FF5" w:rsidRPr="002C3DDA" w:rsidRDefault="00CE2FF5" w:rsidP="0030384C">
      <w:pPr>
        <w:pStyle w:val="NormalWeb"/>
        <w:spacing w:line="360" w:lineRule="auto"/>
        <w:ind w:left="720"/>
        <w:jc w:val="both"/>
        <w:rPr>
          <w:rStyle w:val="s4"/>
          <w:color w:val="000000"/>
        </w:rPr>
      </w:pPr>
    </w:p>
    <w:sectPr w:rsidR="00CE2FF5" w:rsidRPr="002C3DDA" w:rsidSect="00EA1BCC">
      <w:footerReference w:type="default" r:id="rId13"/>
      <w:pgSz w:w="11906" w:h="16838" w:code="9"/>
      <w:pgMar w:top="851" w:right="851" w:bottom="568" w:left="851" w:header="426" w:footer="55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AF1BC" w14:textId="77777777" w:rsidR="009D6D5C" w:rsidRDefault="009D6D5C" w:rsidP="00C27C23">
      <w:pPr>
        <w:spacing w:after="0" w:line="240" w:lineRule="auto"/>
      </w:pPr>
      <w:r>
        <w:separator/>
      </w:r>
    </w:p>
  </w:endnote>
  <w:endnote w:type="continuationSeparator" w:id="0">
    <w:p w14:paraId="3D5FC816" w14:textId="77777777" w:rsidR="009D6D5C" w:rsidRDefault="009D6D5C" w:rsidP="00C27C23">
      <w:pPr>
        <w:spacing w:after="0" w:line="240" w:lineRule="auto"/>
      </w:pPr>
      <w:r>
        <w:continuationSeparator/>
      </w:r>
    </w:p>
  </w:endnote>
  <w:endnote w:type="continuationNotice" w:id="1">
    <w:p w14:paraId="763A30F1" w14:textId="77777777" w:rsidR="009D6D5C" w:rsidRDefault="009D6D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EmphasizedBody">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616EE" w14:textId="77777777" w:rsidR="00875DD7" w:rsidRDefault="00875DD7" w:rsidP="00875DD7">
    <w:pPr>
      <w:pStyle w:val="Footer"/>
      <w:jc w:val="center"/>
    </w:pPr>
  </w:p>
  <w:p w14:paraId="6ACAA165" w14:textId="77777777" w:rsidR="00875DD7" w:rsidRDefault="00875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070"/>
      <w:docPartObj>
        <w:docPartGallery w:val="Page Numbers (Bottom of Page)"/>
        <w:docPartUnique/>
      </w:docPartObj>
    </w:sdtPr>
    <w:sdtEndPr/>
    <w:sdtContent>
      <w:p w14:paraId="2DA05D08" w14:textId="77777777" w:rsidR="002B44CE" w:rsidRDefault="00E51291">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7C1DD332" w14:textId="77777777" w:rsidR="002B44CE" w:rsidRDefault="002B4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D1A2B" w14:textId="77777777" w:rsidR="009D6D5C" w:rsidRDefault="009D6D5C" w:rsidP="00C27C23">
      <w:pPr>
        <w:spacing w:after="0" w:line="240" w:lineRule="auto"/>
      </w:pPr>
      <w:r>
        <w:separator/>
      </w:r>
    </w:p>
  </w:footnote>
  <w:footnote w:type="continuationSeparator" w:id="0">
    <w:p w14:paraId="2E47B59C" w14:textId="77777777" w:rsidR="009D6D5C" w:rsidRDefault="009D6D5C" w:rsidP="00C27C23">
      <w:pPr>
        <w:spacing w:after="0" w:line="240" w:lineRule="auto"/>
      </w:pPr>
      <w:r>
        <w:continuationSeparator/>
      </w:r>
    </w:p>
  </w:footnote>
  <w:footnote w:type="continuationNotice" w:id="1">
    <w:p w14:paraId="25A6525F" w14:textId="77777777" w:rsidR="009D6D5C" w:rsidRDefault="009D6D5C">
      <w:pPr>
        <w:spacing w:after="0" w:line="240" w:lineRule="auto"/>
      </w:pPr>
    </w:p>
  </w:footnote>
  <w:footnote w:id="2">
    <w:p w14:paraId="4209F970" w14:textId="77777777" w:rsidR="00856D45" w:rsidRPr="00276FC8" w:rsidRDefault="00856D45">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Европейски съюз (2022). </w:t>
      </w:r>
      <w:r w:rsidRPr="00276FC8">
        <w:rPr>
          <w:rFonts w:ascii="Times New Roman" w:hAnsi="Times New Roman" w:cs="Times New Roman"/>
          <w:i/>
          <w:iCs/>
          <w:sz w:val="16"/>
          <w:szCs w:val="16"/>
        </w:rPr>
        <w:t>Разширяване на ЕС.</w:t>
      </w:r>
    </w:p>
  </w:footnote>
  <w:footnote w:id="3">
    <w:p w14:paraId="13B30E17" w14:textId="77777777" w:rsidR="006E5E50" w:rsidRPr="00276FC8" w:rsidRDefault="006E5E50">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Schimmelfennig, F. &amp; Sedelmeier, U. (2005). </w:t>
      </w:r>
      <w:r w:rsidRPr="00276FC8">
        <w:rPr>
          <w:rFonts w:ascii="Times New Roman" w:hAnsi="Times New Roman" w:cs="Times New Roman"/>
          <w:i/>
          <w:iCs/>
          <w:sz w:val="16"/>
          <w:szCs w:val="16"/>
        </w:rPr>
        <w:t>The Europeanization of Central and Eastern Europe.</w:t>
      </w:r>
    </w:p>
  </w:footnote>
  <w:footnote w:id="4">
    <w:p w14:paraId="57303802" w14:textId="77777777" w:rsidR="0088372E" w:rsidRPr="00276FC8" w:rsidRDefault="0088372E">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Европейска комисия (2018). </w:t>
      </w:r>
      <w:r w:rsidRPr="00276FC8">
        <w:rPr>
          <w:rFonts w:ascii="Times New Roman" w:hAnsi="Times New Roman" w:cs="Times New Roman"/>
          <w:i/>
          <w:iCs/>
          <w:sz w:val="16"/>
          <w:szCs w:val="16"/>
        </w:rPr>
        <w:t>Комуникация относно стратегията на ЕС за Западните Балкани.</w:t>
      </w:r>
    </w:p>
  </w:footnote>
  <w:footnote w:id="5">
    <w:p w14:paraId="6FE192A5" w14:textId="77777777" w:rsidR="009A5193" w:rsidRPr="00276FC8" w:rsidRDefault="009A5193">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w:t>
      </w:r>
      <w:r w:rsidR="007228B9" w:rsidRPr="00276FC8">
        <w:rPr>
          <w:rFonts w:ascii="Times New Roman" w:hAnsi="Times New Roman" w:cs="Times New Roman"/>
          <w:sz w:val="16"/>
          <w:szCs w:val="16"/>
        </w:rPr>
        <w:t xml:space="preserve">Blockmans, S. &amp; Russack, S. (2020). </w:t>
      </w:r>
      <w:r w:rsidR="00276FC8" w:rsidRPr="00276FC8">
        <w:rPr>
          <w:rFonts w:ascii="Times New Roman" w:hAnsi="Times New Roman" w:cs="Times New Roman"/>
          <w:i/>
          <w:iCs/>
          <w:sz w:val="16"/>
          <w:szCs w:val="16"/>
        </w:rPr>
        <w:t>Reconciling the Deepening and Widening of the European Union.</w:t>
      </w:r>
    </w:p>
  </w:footnote>
  <w:footnote w:id="6">
    <w:p w14:paraId="3BC3AFB0" w14:textId="77777777" w:rsidR="00DD0C4C" w:rsidRPr="00276FC8" w:rsidRDefault="00DD0C4C">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Grabbe, H. (2005). </w:t>
      </w:r>
      <w:r w:rsidRPr="00276FC8">
        <w:rPr>
          <w:rFonts w:ascii="Times New Roman" w:hAnsi="Times New Roman" w:cs="Times New Roman"/>
          <w:i/>
          <w:iCs/>
          <w:sz w:val="16"/>
          <w:szCs w:val="16"/>
        </w:rPr>
        <w:t>The EU’s Transformative Power.</w:t>
      </w:r>
    </w:p>
  </w:footnote>
  <w:footnote w:id="7">
    <w:p w14:paraId="5D37D46B" w14:textId="77777777" w:rsidR="00D925D7" w:rsidRPr="00276FC8" w:rsidRDefault="00D925D7">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European Commission (2025). </w:t>
      </w:r>
      <w:r w:rsidRPr="00276FC8">
        <w:rPr>
          <w:rFonts w:ascii="Times New Roman" w:hAnsi="Times New Roman" w:cs="Times New Roman"/>
          <w:i/>
          <w:iCs/>
          <w:sz w:val="16"/>
          <w:szCs w:val="16"/>
        </w:rPr>
        <w:t>Eurobarometer</w:t>
      </w:r>
      <w:r w:rsidR="00033B40" w:rsidRPr="00276FC8">
        <w:rPr>
          <w:rFonts w:ascii="Times New Roman" w:hAnsi="Times New Roman" w:cs="Times New Roman"/>
          <w:i/>
          <w:iCs/>
          <w:sz w:val="16"/>
          <w:szCs w:val="16"/>
        </w:rPr>
        <w:t xml:space="preserve"> </w:t>
      </w:r>
      <w:r w:rsidR="00033B40" w:rsidRPr="00276FC8">
        <w:rPr>
          <w:rFonts w:ascii="Times New Roman" w:hAnsi="Times New Roman" w:cs="Times New Roman"/>
          <w:i/>
          <w:iCs/>
          <w:sz w:val="16"/>
          <w:szCs w:val="16"/>
          <w:lang w:val="en-GB"/>
        </w:rPr>
        <w:t>Survey 2025</w:t>
      </w:r>
    </w:p>
  </w:footnote>
  <w:footnote w:id="8">
    <w:p w14:paraId="41DCF2C6" w14:textId="77777777" w:rsidR="00DB0B0C" w:rsidRPr="00532CF3" w:rsidRDefault="00DB0B0C">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Съвет на ЕС (2022). </w:t>
      </w:r>
      <w:r w:rsidRPr="00276FC8">
        <w:rPr>
          <w:rFonts w:ascii="Times New Roman" w:hAnsi="Times New Roman" w:cs="Times New Roman"/>
          <w:i/>
          <w:iCs/>
          <w:sz w:val="16"/>
          <w:szCs w:val="16"/>
        </w:rPr>
        <w:t>Декларация от Тирана – Среща на върха ЕС–Западни Балкани.</w:t>
      </w:r>
    </w:p>
  </w:footnote>
  <w:footnote w:id="9">
    <w:p w14:paraId="545A70F7" w14:textId="77777777" w:rsidR="00203AA4" w:rsidRPr="00276FC8" w:rsidRDefault="00203AA4">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Statista (2022). </w:t>
      </w:r>
      <w:r w:rsidRPr="00276FC8">
        <w:rPr>
          <w:rFonts w:ascii="Times New Roman" w:hAnsi="Times New Roman" w:cs="Times New Roman"/>
          <w:i/>
          <w:iCs/>
          <w:sz w:val="16"/>
          <w:szCs w:val="16"/>
        </w:rPr>
        <w:t>Ukraine Becomes Official EU Membership Candidate.</w:t>
      </w:r>
    </w:p>
  </w:footnote>
  <w:footnote w:id="10">
    <w:p w14:paraId="2CACA82C" w14:textId="77777777" w:rsidR="00BB70DE" w:rsidRPr="00276FC8" w:rsidRDefault="00BB70DE">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European Commission (2025). </w:t>
      </w:r>
      <w:r w:rsidRPr="00276FC8">
        <w:rPr>
          <w:rFonts w:ascii="Times New Roman" w:hAnsi="Times New Roman" w:cs="Times New Roman"/>
          <w:i/>
          <w:iCs/>
          <w:sz w:val="16"/>
          <w:szCs w:val="16"/>
        </w:rPr>
        <w:t>Eurobarometer</w:t>
      </w:r>
      <w:r w:rsidR="00033B40" w:rsidRPr="00276FC8">
        <w:rPr>
          <w:rFonts w:ascii="Times New Roman" w:hAnsi="Times New Roman" w:cs="Times New Roman"/>
          <w:i/>
          <w:iCs/>
          <w:sz w:val="16"/>
          <w:szCs w:val="16"/>
          <w:lang w:val="en-GB"/>
        </w:rPr>
        <w:t xml:space="preserve"> Survey 2025</w:t>
      </w:r>
    </w:p>
  </w:footnote>
  <w:footnote w:id="11">
    <w:p w14:paraId="76BC5DCC" w14:textId="77777777" w:rsidR="003130D5" w:rsidRPr="00276FC8" w:rsidRDefault="003130D5">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European Union Institute for Security Studies (2025). </w:t>
      </w:r>
      <w:r w:rsidRPr="00276FC8">
        <w:rPr>
          <w:rFonts w:ascii="Times New Roman" w:hAnsi="Times New Roman" w:cs="Times New Roman"/>
          <w:i/>
          <w:iCs/>
          <w:sz w:val="16"/>
          <w:szCs w:val="16"/>
        </w:rPr>
        <w:t>EU Enlargement and integration: Voices of Support and Scepticism</w:t>
      </w:r>
    </w:p>
  </w:footnote>
  <w:footnote w:id="12">
    <w:p w14:paraId="336755B1" w14:textId="77777777" w:rsidR="007A0290" w:rsidRPr="00276FC8" w:rsidRDefault="007A0290">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Blockmans, S. and Prechal, S. (2007). </w:t>
      </w:r>
      <w:r w:rsidRPr="00276FC8">
        <w:rPr>
          <w:rFonts w:ascii="Times New Roman" w:hAnsi="Times New Roman" w:cs="Times New Roman"/>
          <w:i/>
          <w:iCs/>
          <w:sz w:val="16"/>
          <w:szCs w:val="16"/>
        </w:rPr>
        <w:t>Reconciling the Deepening and Widening of the European Union.</w:t>
      </w:r>
    </w:p>
  </w:footnote>
  <w:footnote w:id="13">
    <w:p w14:paraId="1E4F4770" w14:textId="77777777" w:rsidR="00166A5C" w:rsidRPr="00276FC8" w:rsidRDefault="00166A5C">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Европейска комисия (2023). </w:t>
      </w:r>
      <w:r w:rsidRPr="00276FC8">
        <w:rPr>
          <w:rFonts w:ascii="Times New Roman" w:hAnsi="Times New Roman" w:cs="Times New Roman"/>
          <w:i/>
          <w:iCs/>
          <w:sz w:val="16"/>
          <w:szCs w:val="16"/>
        </w:rPr>
        <w:t>Съобщение Относно Политиката на ЕС за Разширяване за 2023 г.</w:t>
      </w:r>
    </w:p>
  </w:footnote>
  <w:footnote w:id="14">
    <w:p w14:paraId="627448E3" w14:textId="77777777" w:rsidR="00276FC8" w:rsidRPr="00276FC8" w:rsidRDefault="00276FC8">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Blockmans, S. and Prechal, S. (2007). </w:t>
      </w:r>
      <w:r w:rsidRPr="00276FC8">
        <w:rPr>
          <w:rFonts w:ascii="Times New Roman" w:hAnsi="Times New Roman" w:cs="Times New Roman"/>
          <w:i/>
          <w:iCs/>
          <w:sz w:val="16"/>
          <w:szCs w:val="16"/>
        </w:rPr>
        <w:t>Reconciling the Deepening and Widening of the European Union.</w:t>
      </w:r>
    </w:p>
  </w:footnote>
  <w:footnote w:id="15">
    <w:p w14:paraId="221D04F5" w14:textId="77777777" w:rsidR="00A47390" w:rsidRPr="00276FC8" w:rsidRDefault="00A47390">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Панайотова, М. (2023). </w:t>
      </w:r>
      <w:r w:rsidRPr="00276FC8">
        <w:rPr>
          <w:rFonts w:ascii="Times New Roman" w:hAnsi="Times New Roman" w:cs="Times New Roman"/>
          <w:i/>
          <w:iCs/>
          <w:sz w:val="16"/>
          <w:szCs w:val="16"/>
        </w:rPr>
        <w:t>ПОЛИТИКАТА ЗА РАЗШИРЯВАНЕ НА ЕВРОПЕЙСКИЯ СЪЮЗ - НАСТОЯЩЕ И БЪДЕЩЕ В КОНТЕКСТА НА ВОЙНАТА В УКРАЙНА 2022</w:t>
      </w:r>
    </w:p>
  </w:footnote>
  <w:footnote w:id="16">
    <w:p w14:paraId="4E53F256" w14:textId="77777777" w:rsidR="00AB462A" w:rsidRPr="00532CF3" w:rsidRDefault="00AB462A">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Европейска комисия (2023). </w:t>
      </w:r>
      <w:r w:rsidRPr="00276FC8">
        <w:rPr>
          <w:rFonts w:ascii="Times New Roman" w:hAnsi="Times New Roman" w:cs="Times New Roman"/>
          <w:i/>
          <w:iCs/>
          <w:sz w:val="16"/>
          <w:szCs w:val="16"/>
        </w:rPr>
        <w:t>Съобщение относно политиката на ЕС за разширяване за 2023 г.</w:t>
      </w:r>
    </w:p>
  </w:footnote>
  <w:footnote w:id="17">
    <w:p w14:paraId="0584A417" w14:textId="77777777" w:rsidR="00CD1C51" w:rsidRPr="00276FC8" w:rsidRDefault="00CD1C51">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European Commission (2024). </w:t>
      </w:r>
      <w:r w:rsidRPr="00276FC8">
        <w:rPr>
          <w:rFonts w:ascii="Times New Roman" w:hAnsi="Times New Roman" w:cs="Times New Roman"/>
          <w:i/>
          <w:iCs/>
          <w:sz w:val="16"/>
          <w:szCs w:val="16"/>
        </w:rPr>
        <w:t>Overview - Instrument for Pre-accession Assistance.</w:t>
      </w:r>
    </w:p>
  </w:footnote>
  <w:footnote w:id="18">
    <w:p w14:paraId="4C97A779" w14:textId="77777777" w:rsidR="00A53A92" w:rsidRPr="00276FC8" w:rsidRDefault="00A53A92">
      <w:pPr>
        <w:pStyle w:val="FootnoteText"/>
        <w:rPr>
          <w:rFonts w:ascii="Times New Roman" w:hAnsi="Times New Roman" w:cs="Times New Roman"/>
          <w:i/>
          <w:iCs/>
          <w:sz w:val="16"/>
          <w:szCs w:val="16"/>
          <w:lang w:val="en-GB"/>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European Commission (2024). </w:t>
      </w:r>
      <w:r w:rsidRPr="00276FC8">
        <w:rPr>
          <w:rFonts w:ascii="Times New Roman" w:hAnsi="Times New Roman" w:cs="Times New Roman"/>
          <w:i/>
          <w:iCs/>
          <w:sz w:val="16"/>
          <w:szCs w:val="16"/>
        </w:rPr>
        <w:t>Strategy and Reports.</w:t>
      </w:r>
    </w:p>
  </w:footnote>
  <w:footnote w:id="19">
    <w:p w14:paraId="7100B1BC" w14:textId="77777777" w:rsidR="006869DA" w:rsidRPr="00276FC8" w:rsidRDefault="006869DA">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Панайотова, М. (2023). </w:t>
      </w:r>
      <w:r w:rsidRPr="00276FC8">
        <w:rPr>
          <w:rFonts w:ascii="Times New Roman" w:hAnsi="Times New Roman" w:cs="Times New Roman"/>
          <w:i/>
          <w:iCs/>
          <w:sz w:val="16"/>
          <w:szCs w:val="16"/>
        </w:rPr>
        <w:t>ПОЛИТИКАТА ЗА РАЗШИРЯВАНЕ НА ЕВРОПЕЙСКИЯ СЪЮЗ - НАСТОЯЩЕ И БЪДЕЩЕ В КОНТЕКСТА НА ВОЙНАТА В УКРАЙНА 2022</w:t>
      </w:r>
    </w:p>
  </w:footnote>
  <w:footnote w:id="20">
    <w:p w14:paraId="42AF5EE6" w14:textId="77777777" w:rsidR="00042C2F" w:rsidRPr="00276FC8" w:rsidRDefault="00042C2F">
      <w:pPr>
        <w:pStyle w:val="FootnoteText"/>
        <w:rPr>
          <w:rFonts w:ascii="Times New Roman" w:hAnsi="Times New Roman" w:cs="Times New Roman"/>
          <w:i/>
          <w:iCs/>
          <w:sz w:val="16"/>
          <w:szCs w:val="16"/>
        </w:rPr>
      </w:pPr>
      <w:r w:rsidRPr="00276FC8">
        <w:rPr>
          <w:rStyle w:val="FootnoteReference"/>
          <w:rFonts w:ascii="Times New Roman" w:hAnsi="Times New Roman" w:cs="Times New Roman"/>
          <w:sz w:val="16"/>
          <w:szCs w:val="16"/>
        </w:rPr>
        <w:footnoteRef/>
      </w:r>
      <w:r w:rsidRPr="00276FC8">
        <w:rPr>
          <w:rFonts w:ascii="Times New Roman" w:hAnsi="Times New Roman" w:cs="Times New Roman"/>
          <w:sz w:val="16"/>
          <w:szCs w:val="16"/>
        </w:rPr>
        <w:t xml:space="preserve"> Bonomi, M. &amp; Mastrorocco, R. (2024). </w:t>
      </w:r>
      <w:r w:rsidRPr="00276FC8">
        <w:rPr>
          <w:rFonts w:ascii="Times New Roman" w:hAnsi="Times New Roman" w:cs="Times New Roman"/>
          <w:i/>
          <w:iCs/>
          <w:sz w:val="16"/>
          <w:szCs w:val="16"/>
        </w:rPr>
        <w:t>Reforming by Hope, Will or Necessity? EU Integration in Times of Enlargement</w:t>
      </w:r>
    </w:p>
  </w:footnote>
</w:footnotes>
</file>

<file path=word/intelligence2.xml><?xml version="1.0" encoding="utf-8"?>
<int2:intelligence xmlns:int2="http://schemas.microsoft.com/office/intelligence/2020/intelligence" xmlns:oel="http://schemas.microsoft.com/office/2019/extlst">
  <int2:observations>
    <int2:textHash int2:hashCode="zIWynyOOJD4Pc6" int2:id="3eq6lKxN">
      <int2:state int2:value="Rejected" int2:type="AugLoop_Text_Critique"/>
    </int2:textHash>
    <int2:textHash int2:hashCode="56ERLklcbBbnnx" int2:id="3uij6Dxt">
      <int2:state int2:value="Rejected" int2:type="AugLoop_Text_Critique"/>
    </int2:textHash>
    <int2:textHash int2:hashCode="AwBYa5tsJao29Z" int2:id="77TXqdNV">
      <int2:state int2:value="Rejected" int2:type="AugLoop_Text_Critique"/>
    </int2:textHash>
    <int2:textHash int2:hashCode="vR/FecHHvNZegq" int2:id="EkKAhJXC">
      <int2:state int2:value="Rejected" int2:type="AugLoop_Text_Critique"/>
    </int2:textHash>
    <int2:textHash int2:hashCode="RCDCzyJOd/jyHy" int2:id="FwFpqsF8">
      <int2:state int2:value="Rejected" int2:type="AugLoop_Text_Critique"/>
    </int2:textHash>
    <int2:textHash int2:hashCode="I0Zzxp5w42tfzr" int2:id="MnLkuIok">
      <int2:state int2:value="Rejected" int2:type="AugLoop_Text_Critique"/>
    </int2:textHash>
    <int2:textHash int2:hashCode="VEOcEj/X3f7CpM" int2:id="O7P5FtLF">
      <int2:state int2:value="Rejected" int2:type="AugLoop_Text_Critique"/>
    </int2:textHash>
    <int2:textHash int2:hashCode="PQK/8eh4lhOhYy" int2:id="QgzpDRjE">
      <int2:state int2:value="Rejected" int2:type="AugLoop_Text_Critique"/>
    </int2:textHash>
    <int2:textHash int2:hashCode="7/xwtSBKVOD+6u" int2:id="hgWBqb9T">
      <int2:state int2:value="Rejected" int2:type="AugLoop_Text_Critique"/>
    </int2:textHash>
    <int2:textHash int2:hashCode="or7ftaYtIeT5x6" int2:id="mMDvGwlU">
      <int2:state int2:value="Rejected" int2:type="AugLoop_Text_Critique"/>
    </int2:textHash>
    <int2:textHash int2:hashCode="XpUAyRsLOkmGME" int2:id="pJbgM8J1">
      <int2:state int2:value="Rejected" int2:type="AugLoop_Text_Critique"/>
    </int2:textHash>
    <int2:textHash int2:hashCode="wPmgzdkPhT9Rxe" int2:id="r6tA948C">
      <int2:state int2:value="Rejected" int2:type="AugLoop_Text_Critique"/>
    </int2:textHash>
    <int2:textHash int2:hashCode="G/E5MF9YTJqbc4" int2:id="tG1mJ7FI">
      <int2:state int2:value="Rejected" int2:type="AugLoop_Text_Critique"/>
    </int2:textHash>
    <int2:textHash int2:hashCode="FYocpcA/UbrR+Y" int2:id="vui2mvc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74F5"/>
    <w:multiLevelType w:val="hybridMultilevel"/>
    <w:tmpl w:val="3664FD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964AC"/>
    <w:multiLevelType w:val="hybridMultilevel"/>
    <w:tmpl w:val="A78E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20AE3"/>
    <w:multiLevelType w:val="multilevel"/>
    <w:tmpl w:val="8EE45A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20925"/>
    <w:multiLevelType w:val="hybridMultilevel"/>
    <w:tmpl w:val="029C96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10D67"/>
    <w:multiLevelType w:val="hybridMultilevel"/>
    <w:tmpl w:val="0146465C"/>
    <w:lvl w:ilvl="0" w:tplc="34AC075E">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EEA1ED0"/>
    <w:multiLevelType w:val="multilevel"/>
    <w:tmpl w:val="0E8080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3A931E5"/>
    <w:multiLevelType w:val="hybridMultilevel"/>
    <w:tmpl w:val="C1FA4C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45C27"/>
    <w:multiLevelType w:val="multilevel"/>
    <w:tmpl w:val="8C90DF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AE0C20"/>
    <w:multiLevelType w:val="hybridMultilevel"/>
    <w:tmpl w:val="9228A2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56B4F"/>
    <w:multiLevelType w:val="hybridMultilevel"/>
    <w:tmpl w:val="2918D31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6E0C78"/>
    <w:multiLevelType w:val="hybridMultilevel"/>
    <w:tmpl w:val="0BF048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BF168B"/>
    <w:multiLevelType w:val="hybridMultilevel"/>
    <w:tmpl w:val="062AC6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C23F2"/>
    <w:multiLevelType w:val="hybridMultilevel"/>
    <w:tmpl w:val="4FDAAD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CF45B6"/>
    <w:multiLevelType w:val="hybridMultilevel"/>
    <w:tmpl w:val="81A03A96"/>
    <w:lvl w:ilvl="0" w:tplc="164A69C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DFF12D5"/>
    <w:multiLevelType w:val="hybridMultilevel"/>
    <w:tmpl w:val="580E7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A4EE5"/>
    <w:multiLevelType w:val="hybridMultilevel"/>
    <w:tmpl w:val="C9183F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0C25FF"/>
    <w:multiLevelType w:val="hybridMultilevel"/>
    <w:tmpl w:val="46D012B2"/>
    <w:lvl w:ilvl="0" w:tplc="8E00FA4E">
      <w:start w:val="5"/>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10336F7"/>
    <w:multiLevelType w:val="hybridMultilevel"/>
    <w:tmpl w:val="AA12EF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676238"/>
    <w:multiLevelType w:val="hybridMultilevel"/>
    <w:tmpl w:val="547C8C38"/>
    <w:lvl w:ilvl="0" w:tplc="FFFFFFFF">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8A4D77"/>
    <w:multiLevelType w:val="hybridMultilevel"/>
    <w:tmpl w:val="09C6401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FF477A"/>
    <w:multiLevelType w:val="hybridMultilevel"/>
    <w:tmpl w:val="0E32E3E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D12555"/>
    <w:multiLevelType w:val="multilevel"/>
    <w:tmpl w:val="CA220D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8A59F2"/>
    <w:multiLevelType w:val="hybridMultilevel"/>
    <w:tmpl w:val="BF34D4D6"/>
    <w:lvl w:ilvl="0" w:tplc="FFFFFFFF">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6A6B26"/>
    <w:multiLevelType w:val="hybridMultilevel"/>
    <w:tmpl w:val="AE546E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2138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6314C8"/>
    <w:multiLevelType w:val="hybridMultilevel"/>
    <w:tmpl w:val="E4BA76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BE03D45"/>
    <w:multiLevelType w:val="hybridMultilevel"/>
    <w:tmpl w:val="1B501F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397CBE"/>
    <w:multiLevelType w:val="hybridMultilevel"/>
    <w:tmpl w:val="09729E82"/>
    <w:lvl w:ilvl="0" w:tplc="68449AB2">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6FA60117"/>
    <w:multiLevelType w:val="hybridMultilevel"/>
    <w:tmpl w:val="CF3A6E4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F96EFC"/>
    <w:multiLevelType w:val="hybridMultilevel"/>
    <w:tmpl w:val="217CE7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2301082">
    <w:abstractNumId w:val="5"/>
  </w:num>
  <w:num w:numId="2" w16cid:durableId="1493251247">
    <w:abstractNumId w:val="2"/>
  </w:num>
  <w:num w:numId="3" w16cid:durableId="697245296">
    <w:abstractNumId w:val="21"/>
  </w:num>
  <w:num w:numId="4" w16cid:durableId="1806583641">
    <w:abstractNumId w:val="7"/>
  </w:num>
  <w:num w:numId="5" w16cid:durableId="2030180831">
    <w:abstractNumId w:val="27"/>
  </w:num>
  <w:num w:numId="6" w16cid:durableId="1164512895">
    <w:abstractNumId w:val="13"/>
  </w:num>
  <w:num w:numId="7" w16cid:durableId="1645621215">
    <w:abstractNumId w:val="4"/>
  </w:num>
  <w:num w:numId="8" w16cid:durableId="537931982">
    <w:abstractNumId w:val="16"/>
  </w:num>
  <w:num w:numId="9" w16cid:durableId="2024895606">
    <w:abstractNumId w:val="24"/>
  </w:num>
  <w:num w:numId="10" w16cid:durableId="298341571">
    <w:abstractNumId w:val="18"/>
  </w:num>
  <w:num w:numId="11" w16cid:durableId="1201354812">
    <w:abstractNumId w:val="22"/>
  </w:num>
  <w:num w:numId="12" w16cid:durableId="294333672">
    <w:abstractNumId w:val="26"/>
  </w:num>
  <w:num w:numId="13" w16cid:durableId="1502549510">
    <w:abstractNumId w:val="20"/>
  </w:num>
  <w:num w:numId="14" w16cid:durableId="526137621">
    <w:abstractNumId w:val="9"/>
  </w:num>
  <w:num w:numId="15" w16cid:durableId="1333148213">
    <w:abstractNumId w:val="28"/>
  </w:num>
  <w:num w:numId="16" w16cid:durableId="1463958172">
    <w:abstractNumId w:val="1"/>
  </w:num>
  <w:num w:numId="17" w16cid:durableId="33581797">
    <w:abstractNumId w:val="10"/>
  </w:num>
  <w:num w:numId="18" w16cid:durableId="2116175086">
    <w:abstractNumId w:val="6"/>
  </w:num>
  <w:num w:numId="19" w16cid:durableId="1337725506">
    <w:abstractNumId w:val="23"/>
  </w:num>
  <w:num w:numId="20" w16cid:durableId="1341815890">
    <w:abstractNumId w:val="8"/>
  </w:num>
  <w:num w:numId="21" w16cid:durableId="1685282863">
    <w:abstractNumId w:val="3"/>
  </w:num>
  <w:num w:numId="22" w16cid:durableId="1331450291">
    <w:abstractNumId w:val="14"/>
  </w:num>
  <w:num w:numId="23" w16cid:durableId="413354677">
    <w:abstractNumId w:val="0"/>
  </w:num>
  <w:num w:numId="24" w16cid:durableId="2128962897">
    <w:abstractNumId w:val="17"/>
  </w:num>
  <w:num w:numId="25" w16cid:durableId="948245046">
    <w:abstractNumId w:val="12"/>
  </w:num>
  <w:num w:numId="26" w16cid:durableId="829053966">
    <w:abstractNumId w:val="29"/>
  </w:num>
  <w:num w:numId="27" w16cid:durableId="1271938026">
    <w:abstractNumId w:val="19"/>
  </w:num>
  <w:num w:numId="28" w16cid:durableId="1874227823">
    <w:abstractNumId w:val="11"/>
  </w:num>
  <w:num w:numId="29" w16cid:durableId="640497602">
    <w:abstractNumId w:val="15"/>
  </w:num>
  <w:num w:numId="30" w16cid:durableId="15741176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842"/>
    <w:rsid w:val="000003BE"/>
    <w:rsid w:val="00000F2D"/>
    <w:rsid w:val="00001598"/>
    <w:rsid w:val="00003FF3"/>
    <w:rsid w:val="000063CB"/>
    <w:rsid w:val="00010794"/>
    <w:rsid w:val="000117DE"/>
    <w:rsid w:val="00013798"/>
    <w:rsid w:val="0001586C"/>
    <w:rsid w:val="00015E0D"/>
    <w:rsid w:val="00020578"/>
    <w:rsid w:val="00020B82"/>
    <w:rsid w:val="0002100B"/>
    <w:rsid w:val="00021EC0"/>
    <w:rsid w:val="00022374"/>
    <w:rsid w:val="0002246B"/>
    <w:rsid w:val="000266A4"/>
    <w:rsid w:val="00026FC7"/>
    <w:rsid w:val="000322EE"/>
    <w:rsid w:val="00033B40"/>
    <w:rsid w:val="000353AD"/>
    <w:rsid w:val="00035492"/>
    <w:rsid w:val="000409B7"/>
    <w:rsid w:val="00042C2F"/>
    <w:rsid w:val="00045E10"/>
    <w:rsid w:val="00047566"/>
    <w:rsid w:val="00052AE4"/>
    <w:rsid w:val="000533D2"/>
    <w:rsid w:val="000545D2"/>
    <w:rsid w:val="000554A6"/>
    <w:rsid w:val="000554A7"/>
    <w:rsid w:val="00060B72"/>
    <w:rsid w:val="000613F5"/>
    <w:rsid w:val="00061F32"/>
    <w:rsid w:val="00061FC2"/>
    <w:rsid w:val="00064BF1"/>
    <w:rsid w:val="0006598B"/>
    <w:rsid w:val="000666B3"/>
    <w:rsid w:val="00067859"/>
    <w:rsid w:val="00067D71"/>
    <w:rsid w:val="00071B08"/>
    <w:rsid w:val="00071FE5"/>
    <w:rsid w:val="00072903"/>
    <w:rsid w:val="00073A80"/>
    <w:rsid w:val="00073C61"/>
    <w:rsid w:val="00076255"/>
    <w:rsid w:val="000768C7"/>
    <w:rsid w:val="000776F5"/>
    <w:rsid w:val="000777EE"/>
    <w:rsid w:val="00080BE4"/>
    <w:rsid w:val="0008172F"/>
    <w:rsid w:val="000828E2"/>
    <w:rsid w:val="00090EAD"/>
    <w:rsid w:val="00092697"/>
    <w:rsid w:val="000931C9"/>
    <w:rsid w:val="000952D5"/>
    <w:rsid w:val="000A0CDB"/>
    <w:rsid w:val="000A3E92"/>
    <w:rsid w:val="000A714E"/>
    <w:rsid w:val="000B1275"/>
    <w:rsid w:val="000B3DBB"/>
    <w:rsid w:val="000B453A"/>
    <w:rsid w:val="000B4F7B"/>
    <w:rsid w:val="000B56C1"/>
    <w:rsid w:val="000B64FB"/>
    <w:rsid w:val="000B6AEA"/>
    <w:rsid w:val="000B7F40"/>
    <w:rsid w:val="000C0E09"/>
    <w:rsid w:val="000C2128"/>
    <w:rsid w:val="000C603D"/>
    <w:rsid w:val="000C62E0"/>
    <w:rsid w:val="000C6B31"/>
    <w:rsid w:val="000C6E5B"/>
    <w:rsid w:val="000C7A0B"/>
    <w:rsid w:val="000D09AE"/>
    <w:rsid w:val="000D15B8"/>
    <w:rsid w:val="000D1763"/>
    <w:rsid w:val="000D201C"/>
    <w:rsid w:val="000D21EE"/>
    <w:rsid w:val="000D27A0"/>
    <w:rsid w:val="000D53AA"/>
    <w:rsid w:val="000D74BF"/>
    <w:rsid w:val="000D798F"/>
    <w:rsid w:val="000E016D"/>
    <w:rsid w:val="000E0481"/>
    <w:rsid w:val="000E0CA1"/>
    <w:rsid w:val="000E0D79"/>
    <w:rsid w:val="000E41F1"/>
    <w:rsid w:val="000E5FFE"/>
    <w:rsid w:val="000F1459"/>
    <w:rsid w:val="000F165A"/>
    <w:rsid w:val="000F2BCF"/>
    <w:rsid w:val="000F3990"/>
    <w:rsid w:val="000F3BC7"/>
    <w:rsid w:val="000F4AC2"/>
    <w:rsid w:val="000F6915"/>
    <w:rsid w:val="00101CFF"/>
    <w:rsid w:val="00106B5E"/>
    <w:rsid w:val="001105F6"/>
    <w:rsid w:val="00113BD9"/>
    <w:rsid w:val="00116C7B"/>
    <w:rsid w:val="00116F7A"/>
    <w:rsid w:val="001208D7"/>
    <w:rsid w:val="001211F6"/>
    <w:rsid w:val="0012300C"/>
    <w:rsid w:val="001235DE"/>
    <w:rsid w:val="00124258"/>
    <w:rsid w:val="00124D4B"/>
    <w:rsid w:val="00127D29"/>
    <w:rsid w:val="001307D8"/>
    <w:rsid w:val="00135279"/>
    <w:rsid w:val="00135764"/>
    <w:rsid w:val="00136383"/>
    <w:rsid w:val="00136808"/>
    <w:rsid w:val="00143A42"/>
    <w:rsid w:val="001451A9"/>
    <w:rsid w:val="00145730"/>
    <w:rsid w:val="00150105"/>
    <w:rsid w:val="00150D20"/>
    <w:rsid w:val="001513A4"/>
    <w:rsid w:val="00151D1D"/>
    <w:rsid w:val="00151D2B"/>
    <w:rsid w:val="00151D90"/>
    <w:rsid w:val="00152154"/>
    <w:rsid w:val="00152219"/>
    <w:rsid w:val="00153B21"/>
    <w:rsid w:val="0015529F"/>
    <w:rsid w:val="00155BA1"/>
    <w:rsid w:val="00155EA3"/>
    <w:rsid w:val="001564CA"/>
    <w:rsid w:val="001573F4"/>
    <w:rsid w:val="00157865"/>
    <w:rsid w:val="0016047B"/>
    <w:rsid w:val="001609FC"/>
    <w:rsid w:val="00160ED3"/>
    <w:rsid w:val="00161E03"/>
    <w:rsid w:val="00163EE3"/>
    <w:rsid w:val="001657F7"/>
    <w:rsid w:val="001659DB"/>
    <w:rsid w:val="00166A5C"/>
    <w:rsid w:val="00166DFE"/>
    <w:rsid w:val="0017058D"/>
    <w:rsid w:val="00172BB5"/>
    <w:rsid w:val="00176A8F"/>
    <w:rsid w:val="00176CE3"/>
    <w:rsid w:val="00177146"/>
    <w:rsid w:val="00177B54"/>
    <w:rsid w:val="0018002D"/>
    <w:rsid w:val="00182E05"/>
    <w:rsid w:val="00183941"/>
    <w:rsid w:val="00183F5D"/>
    <w:rsid w:val="00184234"/>
    <w:rsid w:val="001865BB"/>
    <w:rsid w:val="00186846"/>
    <w:rsid w:val="0018685A"/>
    <w:rsid w:val="001869A8"/>
    <w:rsid w:val="00190955"/>
    <w:rsid w:val="00191BA1"/>
    <w:rsid w:val="001923D0"/>
    <w:rsid w:val="001940BD"/>
    <w:rsid w:val="00194FC7"/>
    <w:rsid w:val="00195C8C"/>
    <w:rsid w:val="001963B7"/>
    <w:rsid w:val="00197DD1"/>
    <w:rsid w:val="001A2809"/>
    <w:rsid w:val="001A3031"/>
    <w:rsid w:val="001A3D43"/>
    <w:rsid w:val="001A499F"/>
    <w:rsid w:val="001A4AE9"/>
    <w:rsid w:val="001A4E4D"/>
    <w:rsid w:val="001B176D"/>
    <w:rsid w:val="001B3E3D"/>
    <w:rsid w:val="001B622F"/>
    <w:rsid w:val="001B640E"/>
    <w:rsid w:val="001B6715"/>
    <w:rsid w:val="001C0806"/>
    <w:rsid w:val="001C0C33"/>
    <w:rsid w:val="001C36EE"/>
    <w:rsid w:val="001C63B6"/>
    <w:rsid w:val="001D1C66"/>
    <w:rsid w:val="001D45AA"/>
    <w:rsid w:val="001D5A01"/>
    <w:rsid w:val="001D710A"/>
    <w:rsid w:val="001E23AA"/>
    <w:rsid w:val="001E2AAE"/>
    <w:rsid w:val="001E43CC"/>
    <w:rsid w:val="001E600C"/>
    <w:rsid w:val="001E69B6"/>
    <w:rsid w:val="001E6DF6"/>
    <w:rsid w:val="001E71B0"/>
    <w:rsid w:val="001F0B16"/>
    <w:rsid w:val="001F0D70"/>
    <w:rsid w:val="001F0DA8"/>
    <w:rsid w:val="001F11C3"/>
    <w:rsid w:val="001F1287"/>
    <w:rsid w:val="001F1821"/>
    <w:rsid w:val="001F1DE0"/>
    <w:rsid w:val="001F39FA"/>
    <w:rsid w:val="001F47B2"/>
    <w:rsid w:val="00201380"/>
    <w:rsid w:val="0020210C"/>
    <w:rsid w:val="00202FD2"/>
    <w:rsid w:val="0020315F"/>
    <w:rsid w:val="00203AA4"/>
    <w:rsid w:val="00203F15"/>
    <w:rsid w:val="00205922"/>
    <w:rsid w:val="00205A7D"/>
    <w:rsid w:val="00205E5A"/>
    <w:rsid w:val="00206534"/>
    <w:rsid w:val="0021045F"/>
    <w:rsid w:val="00210D9B"/>
    <w:rsid w:val="00211F5F"/>
    <w:rsid w:val="002135F6"/>
    <w:rsid w:val="0021436C"/>
    <w:rsid w:val="00214A0E"/>
    <w:rsid w:val="00216225"/>
    <w:rsid w:val="00216986"/>
    <w:rsid w:val="00217600"/>
    <w:rsid w:val="0021772D"/>
    <w:rsid w:val="0021799C"/>
    <w:rsid w:val="0022077E"/>
    <w:rsid w:val="00220A56"/>
    <w:rsid w:val="002218AE"/>
    <w:rsid w:val="002235B4"/>
    <w:rsid w:val="00224426"/>
    <w:rsid w:val="00224AC6"/>
    <w:rsid w:val="00230477"/>
    <w:rsid w:val="00231F3B"/>
    <w:rsid w:val="00233023"/>
    <w:rsid w:val="00233EE5"/>
    <w:rsid w:val="002352F5"/>
    <w:rsid w:val="002406D3"/>
    <w:rsid w:val="00242A43"/>
    <w:rsid w:val="00242A51"/>
    <w:rsid w:val="00243712"/>
    <w:rsid w:val="00243872"/>
    <w:rsid w:val="00243A6A"/>
    <w:rsid w:val="00243BF7"/>
    <w:rsid w:val="00251565"/>
    <w:rsid w:val="00253121"/>
    <w:rsid w:val="002600C0"/>
    <w:rsid w:val="0026033E"/>
    <w:rsid w:val="00262E1B"/>
    <w:rsid w:val="002648DC"/>
    <w:rsid w:val="00264B7D"/>
    <w:rsid w:val="0026510D"/>
    <w:rsid w:val="00270626"/>
    <w:rsid w:val="002712AF"/>
    <w:rsid w:val="0027150B"/>
    <w:rsid w:val="00271A24"/>
    <w:rsid w:val="00272BD3"/>
    <w:rsid w:val="002732C1"/>
    <w:rsid w:val="0027376A"/>
    <w:rsid w:val="00273965"/>
    <w:rsid w:val="0027580A"/>
    <w:rsid w:val="00276FC8"/>
    <w:rsid w:val="00287A34"/>
    <w:rsid w:val="00290608"/>
    <w:rsid w:val="00290A96"/>
    <w:rsid w:val="00296281"/>
    <w:rsid w:val="002A0361"/>
    <w:rsid w:val="002A46CF"/>
    <w:rsid w:val="002A4EEC"/>
    <w:rsid w:val="002A5949"/>
    <w:rsid w:val="002A5E12"/>
    <w:rsid w:val="002A5E21"/>
    <w:rsid w:val="002A614B"/>
    <w:rsid w:val="002A77C1"/>
    <w:rsid w:val="002A782B"/>
    <w:rsid w:val="002B3A5F"/>
    <w:rsid w:val="002B44CE"/>
    <w:rsid w:val="002B5FAC"/>
    <w:rsid w:val="002B6085"/>
    <w:rsid w:val="002C3577"/>
    <w:rsid w:val="002C3DDA"/>
    <w:rsid w:val="002C5BBE"/>
    <w:rsid w:val="002C5C4D"/>
    <w:rsid w:val="002C7E7F"/>
    <w:rsid w:val="002D0D65"/>
    <w:rsid w:val="002D1ECA"/>
    <w:rsid w:val="002D243C"/>
    <w:rsid w:val="002D245A"/>
    <w:rsid w:val="002D37A5"/>
    <w:rsid w:val="002D3808"/>
    <w:rsid w:val="002D3F20"/>
    <w:rsid w:val="002D4BE0"/>
    <w:rsid w:val="002D4BEF"/>
    <w:rsid w:val="002D67E6"/>
    <w:rsid w:val="002E16A9"/>
    <w:rsid w:val="002E335B"/>
    <w:rsid w:val="002E34F5"/>
    <w:rsid w:val="002E4E43"/>
    <w:rsid w:val="002E53E1"/>
    <w:rsid w:val="002E5C38"/>
    <w:rsid w:val="002E6208"/>
    <w:rsid w:val="002E6984"/>
    <w:rsid w:val="002E6989"/>
    <w:rsid w:val="002E77AB"/>
    <w:rsid w:val="002F0F05"/>
    <w:rsid w:val="002F114E"/>
    <w:rsid w:val="002F116C"/>
    <w:rsid w:val="002F1AEB"/>
    <w:rsid w:val="002F1C39"/>
    <w:rsid w:val="002F1C47"/>
    <w:rsid w:val="002F3593"/>
    <w:rsid w:val="002F37D2"/>
    <w:rsid w:val="002F6EA7"/>
    <w:rsid w:val="002F7BF3"/>
    <w:rsid w:val="002F7C9E"/>
    <w:rsid w:val="00300C7C"/>
    <w:rsid w:val="00301088"/>
    <w:rsid w:val="0030384C"/>
    <w:rsid w:val="00303ACC"/>
    <w:rsid w:val="00303BA2"/>
    <w:rsid w:val="00305DD0"/>
    <w:rsid w:val="00307426"/>
    <w:rsid w:val="00310779"/>
    <w:rsid w:val="00311DCD"/>
    <w:rsid w:val="00312571"/>
    <w:rsid w:val="003130D5"/>
    <w:rsid w:val="00314D2E"/>
    <w:rsid w:val="00315912"/>
    <w:rsid w:val="00320831"/>
    <w:rsid w:val="003209A2"/>
    <w:rsid w:val="00320C5B"/>
    <w:rsid w:val="00320D89"/>
    <w:rsid w:val="00321DE8"/>
    <w:rsid w:val="0032261C"/>
    <w:rsid w:val="003227A3"/>
    <w:rsid w:val="003234AE"/>
    <w:rsid w:val="00327C25"/>
    <w:rsid w:val="00331846"/>
    <w:rsid w:val="003336E3"/>
    <w:rsid w:val="00334BCA"/>
    <w:rsid w:val="00335D68"/>
    <w:rsid w:val="003364BE"/>
    <w:rsid w:val="00337A33"/>
    <w:rsid w:val="00344E48"/>
    <w:rsid w:val="00347F04"/>
    <w:rsid w:val="00350795"/>
    <w:rsid w:val="00350D01"/>
    <w:rsid w:val="00351302"/>
    <w:rsid w:val="0035134F"/>
    <w:rsid w:val="00351B3D"/>
    <w:rsid w:val="00351E4D"/>
    <w:rsid w:val="003523E2"/>
    <w:rsid w:val="003530A9"/>
    <w:rsid w:val="00354FCD"/>
    <w:rsid w:val="00356E3E"/>
    <w:rsid w:val="0035776C"/>
    <w:rsid w:val="00361069"/>
    <w:rsid w:val="00361A36"/>
    <w:rsid w:val="00364FEA"/>
    <w:rsid w:val="0036502A"/>
    <w:rsid w:val="003674E7"/>
    <w:rsid w:val="003700BD"/>
    <w:rsid w:val="00371AF3"/>
    <w:rsid w:val="00372171"/>
    <w:rsid w:val="00372762"/>
    <w:rsid w:val="003731E8"/>
    <w:rsid w:val="00375C07"/>
    <w:rsid w:val="003775F5"/>
    <w:rsid w:val="00382487"/>
    <w:rsid w:val="0038334D"/>
    <w:rsid w:val="0038520C"/>
    <w:rsid w:val="003902CA"/>
    <w:rsid w:val="00390643"/>
    <w:rsid w:val="003914FE"/>
    <w:rsid w:val="003917A6"/>
    <w:rsid w:val="003922E4"/>
    <w:rsid w:val="00392E69"/>
    <w:rsid w:val="00393515"/>
    <w:rsid w:val="0039481F"/>
    <w:rsid w:val="00395307"/>
    <w:rsid w:val="00396768"/>
    <w:rsid w:val="00396E77"/>
    <w:rsid w:val="00397D33"/>
    <w:rsid w:val="003A031D"/>
    <w:rsid w:val="003A0CC0"/>
    <w:rsid w:val="003A110B"/>
    <w:rsid w:val="003A1D0E"/>
    <w:rsid w:val="003A26F6"/>
    <w:rsid w:val="003A2E2E"/>
    <w:rsid w:val="003A39E3"/>
    <w:rsid w:val="003B1E70"/>
    <w:rsid w:val="003B443D"/>
    <w:rsid w:val="003B4DA6"/>
    <w:rsid w:val="003B6545"/>
    <w:rsid w:val="003B7279"/>
    <w:rsid w:val="003B7FCD"/>
    <w:rsid w:val="003C08DF"/>
    <w:rsid w:val="003C0A22"/>
    <w:rsid w:val="003C1399"/>
    <w:rsid w:val="003C30E0"/>
    <w:rsid w:val="003C3C3F"/>
    <w:rsid w:val="003C43F5"/>
    <w:rsid w:val="003C47CC"/>
    <w:rsid w:val="003C4ACB"/>
    <w:rsid w:val="003C6864"/>
    <w:rsid w:val="003C6EBE"/>
    <w:rsid w:val="003C761D"/>
    <w:rsid w:val="003D043C"/>
    <w:rsid w:val="003D0FC2"/>
    <w:rsid w:val="003D272C"/>
    <w:rsid w:val="003D40A8"/>
    <w:rsid w:val="003D6119"/>
    <w:rsid w:val="003D77E8"/>
    <w:rsid w:val="003E0BFC"/>
    <w:rsid w:val="003E0DBF"/>
    <w:rsid w:val="003E36AD"/>
    <w:rsid w:val="003E43DA"/>
    <w:rsid w:val="003E4B48"/>
    <w:rsid w:val="003E5E91"/>
    <w:rsid w:val="003E63D0"/>
    <w:rsid w:val="003E7139"/>
    <w:rsid w:val="003E79AF"/>
    <w:rsid w:val="003F19AA"/>
    <w:rsid w:val="003F572F"/>
    <w:rsid w:val="003F6B30"/>
    <w:rsid w:val="003F753E"/>
    <w:rsid w:val="004020CF"/>
    <w:rsid w:val="004026F1"/>
    <w:rsid w:val="0040275D"/>
    <w:rsid w:val="004029B9"/>
    <w:rsid w:val="00403635"/>
    <w:rsid w:val="00403710"/>
    <w:rsid w:val="00403C1F"/>
    <w:rsid w:val="00403CAA"/>
    <w:rsid w:val="004047B9"/>
    <w:rsid w:val="004048BB"/>
    <w:rsid w:val="0041001D"/>
    <w:rsid w:val="0041044C"/>
    <w:rsid w:val="00412FE8"/>
    <w:rsid w:val="0041360C"/>
    <w:rsid w:val="00415599"/>
    <w:rsid w:val="004160ED"/>
    <w:rsid w:val="00416243"/>
    <w:rsid w:val="00417032"/>
    <w:rsid w:val="00420100"/>
    <w:rsid w:val="0042093A"/>
    <w:rsid w:val="00421FC2"/>
    <w:rsid w:val="00423328"/>
    <w:rsid w:val="00425D9D"/>
    <w:rsid w:val="004269E1"/>
    <w:rsid w:val="00426E3B"/>
    <w:rsid w:val="004273E1"/>
    <w:rsid w:val="00427643"/>
    <w:rsid w:val="00427C92"/>
    <w:rsid w:val="0043020D"/>
    <w:rsid w:val="004306B4"/>
    <w:rsid w:val="00431C5E"/>
    <w:rsid w:val="0043308F"/>
    <w:rsid w:val="0043359D"/>
    <w:rsid w:val="004342D5"/>
    <w:rsid w:val="004342FE"/>
    <w:rsid w:val="00435E1A"/>
    <w:rsid w:val="00440395"/>
    <w:rsid w:val="004414C9"/>
    <w:rsid w:val="004420E3"/>
    <w:rsid w:val="00442A2E"/>
    <w:rsid w:val="00446964"/>
    <w:rsid w:val="00450BE8"/>
    <w:rsid w:val="004513FC"/>
    <w:rsid w:val="00452943"/>
    <w:rsid w:val="004540B7"/>
    <w:rsid w:val="00454131"/>
    <w:rsid w:val="0045432C"/>
    <w:rsid w:val="004561AD"/>
    <w:rsid w:val="0045649D"/>
    <w:rsid w:val="00457315"/>
    <w:rsid w:val="004601BF"/>
    <w:rsid w:val="004606BC"/>
    <w:rsid w:val="00460AE2"/>
    <w:rsid w:val="00460BEA"/>
    <w:rsid w:val="00461311"/>
    <w:rsid w:val="004622A0"/>
    <w:rsid w:val="00463177"/>
    <w:rsid w:val="0046543D"/>
    <w:rsid w:val="00465577"/>
    <w:rsid w:val="00467C98"/>
    <w:rsid w:val="00470BAA"/>
    <w:rsid w:val="00470F8B"/>
    <w:rsid w:val="00471372"/>
    <w:rsid w:val="0047281C"/>
    <w:rsid w:val="00472DBA"/>
    <w:rsid w:val="00473AC8"/>
    <w:rsid w:val="00474C5C"/>
    <w:rsid w:val="004755FB"/>
    <w:rsid w:val="004759FE"/>
    <w:rsid w:val="00477F54"/>
    <w:rsid w:val="004809C7"/>
    <w:rsid w:val="00482F13"/>
    <w:rsid w:val="00487B48"/>
    <w:rsid w:val="00490F21"/>
    <w:rsid w:val="00493768"/>
    <w:rsid w:val="0049456F"/>
    <w:rsid w:val="0049643E"/>
    <w:rsid w:val="004A046F"/>
    <w:rsid w:val="004A1B79"/>
    <w:rsid w:val="004A39E9"/>
    <w:rsid w:val="004A3B42"/>
    <w:rsid w:val="004A5627"/>
    <w:rsid w:val="004A5886"/>
    <w:rsid w:val="004A71A2"/>
    <w:rsid w:val="004A8A8D"/>
    <w:rsid w:val="004B0276"/>
    <w:rsid w:val="004B4B80"/>
    <w:rsid w:val="004B5DAA"/>
    <w:rsid w:val="004B63C1"/>
    <w:rsid w:val="004B6839"/>
    <w:rsid w:val="004B6D0B"/>
    <w:rsid w:val="004B7139"/>
    <w:rsid w:val="004C0083"/>
    <w:rsid w:val="004C13A8"/>
    <w:rsid w:val="004C267B"/>
    <w:rsid w:val="004C475D"/>
    <w:rsid w:val="004C47E7"/>
    <w:rsid w:val="004C61E3"/>
    <w:rsid w:val="004C79F5"/>
    <w:rsid w:val="004C7EFB"/>
    <w:rsid w:val="004D07C9"/>
    <w:rsid w:val="004D2AEB"/>
    <w:rsid w:val="004D2B52"/>
    <w:rsid w:val="004D3333"/>
    <w:rsid w:val="004D3E80"/>
    <w:rsid w:val="004D5936"/>
    <w:rsid w:val="004E0BE6"/>
    <w:rsid w:val="004E0BFE"/>
    <w:rsid w:val="004E1376"/>
    <w:rsid w:val="004E1873"/>
    <w:rsid w:val="004E3D27"/>
    <w:rsid w:val="004E562E"/>
    <w:rsid w:val="004E660D"/>
    <w:rsid w:val="004E7B0A"/>
    <w:rsid w:val="004E7C00"/>
    <w:rsid w:val="004E7E5A"/>
    <w:rsid w:val="004F1AF0"/>
    <w:rsid w:val="004F2AB9"/>
    <w:rsid w:val="004F2BC1"/>
    <w:rsid w:val="004F4055"/>
    <w:rsid w:val="004F4A75"/>
    <w:rsid w:val="004F4C34"/>
    <w:rsid w:val="004F4CD9"/>
    <w:rsid w:val="004F4E22"/>
    <w:rsid w:val="004F6490"/>
    <w:rsid w:val="004F6703"/>
    <w:rsid w:val="004F6BAE"/>
    <w:rsid w:val="00500771"/>
    <w:rsid w:val="00501D0B"/>
    <w:rsid w:val="00501D44"/>
    <w:rsid w:val="00502732"/>
    <w:rsid w:val="005036DD"/>
    <w:rsid w:val="0050586F"/>
    <w:rsid w:val="0050667E"/>
    <w:rsid w:val="00507AB1"/>
    <w:rsid w:val="0051038D"/>
    <w:rsid w:val="00510549"/>
    <w:rsid w:val="00512655"/>
    <w:rsid w:val="00513450"/>
    <w:rsid w:val="00517646"/>
    <w:rsid w:val="00517FB3"/>
    <w:rsid w:val="00520655"/>
    <w:rsid w:val="00520AFD"/>
    <w:rsid w:val="00520F1D"/>
    <w:rsid w:val="005229CA"/>
    <w:rsid w:val="00522DE3"/>
    <w:rsid w:val="0052594B"/>
    <w:rsid w:val="0052608A"/>
    <w:rsid w:val="00527BBC"/>
    <w:rsid w:val="00531A9D"/>
    <w:rsid w:val="00532CF3"/>
    <w:rsid w:val="00532EFC"/>
    <w:rsid w:val="005337BF"/>
    <w:rsid w:val="00534909"/>
    <w:rsid w:val="00535D95"/>
    <w:rsid w:val="00535E45"/>
    <w:rsid w:val="00536A7F"/>
    <w:rsid w:val="00541ABD"/>
    <w:rsid w:val="0054320F"/>
    <w:rsid w:val="00544371"/>
    <w:rsid w:val="0054445F"/>
    <w:rsid w:val="00544849"/>
    <w:rsid w:val="00544906"/>
    <w:rsid w:val="0054730A"/>
    <w:rsid w:val="00547F4E"/>
    <w:rsid w:val="005518C9"/>
    <w:rsid w:val="00551E36"/>
    <w:rsid w:val="00553E66"/>
    <w:rsid w:val="00554B1F"/>
    <w:rsid w:val="0055636B"/>
    <w:rsid w:val="00556686"/>
    <w:rsid w:val="00557AA5"/>
    <w:rsid w:val="00560014"/>
    <w:rsid w:val="00560EEF"/>
    <w:rsid w:val="00561191"/>
    <w:rsid w:val="005631D6"/>
    <w:rsid w:val="0056376C"/>
    <w:rsid w:val="00563AA0"/>
    <w:rsid w:val="00565356"/>
    <w:rsid w:val="00565772"/>
    <w:rsid w:val="005678CF"/>
    <w:rsid w:val="00567DFD"/>
    <w:rsid w:val="005703A0"/>
    <w:rsid w:val="00571640"/>
    <w:rsid w:val="00571A0D"/>
    <w:rsid w:val="005721E9"/>
    <w:rsid w:val="005739A4"/>
    <w:rsid w:val="00575EAD"/>
    <w:rsid w:val="0057620D"/>
    <w:rsid w:val="00576A61"/>
    <w:rsid w:val="00576AA4"/>
    <w:rsid w:val="00576ECA"/>
    <w:rsid w:val="00580685"/>
    <w:rsid w:val="00581377"/>
    <w:rsid w:val="005813F0"/>
    <w:rsid w:val="00582694"/>
    <w:rsid w:val="00583CF0"/>
    <w:rsid w:val="00583E82"/>
    <w:rsid w:val="00584C58"/>
    <w:rsid w:val="00584E03"/>
    <w:rsid w:val="005858CC"/>
    <w:rsid w:val="0059013F"/>
    <w:rsid w:val="0059254E"/>
    <w:rsid w:val="005942F9"/>
    <w:rsid w:val="00594BA1"/>
    <w:rsid w:val="00595506"/>
    <w:rsid w:val="00595E9D"/>
    <w:rsid w:val="0059665A"/>
    <w:rsid w:val="005969D5"/>
    <w:rsid w:val="00597C0F"/>
    <w:rsid w:val="005A048B"/>
    <w:rsid w:val="005A07C0"/>
    <w:rsid w:val="005A2AE8"/>
    <w:rsid w:val="005A57B5"/>
    <w:rsid w:val="005B6126"/>
    <w:rsid w:val="005B6AF1"/>
    <w:rsid w:val="005C1284"/>
    <w:rsid w:val="005C29B6"/>
    <w:rsid w:val="005C2A22"/>
    <w:rsid w:val="005C2CDE"/>
    <w:rsid w:val="005C41FC"/>
    <w:rsid w:val="005C43CB"/>
    <w:rsid w:val="005C55C6"/>
    <w:rsid w:val="005C6A05"/>
    <w:rsid w:val="005D22CF"/>
    <w:rsid w:val="005D2B78"/>
    <w:rsid w:val="005D47D1"/>
    <w:rsid w:val="005D587D"/>
    <w:rsid w:val="005D6933"/>
    <w:rsid w:val="005D6983"/>
    <w:rsid w:val="005D7152"/>
    <w:rsid w:val="005E03B7"/>
    <w:rsid w:val="005E04F9"/>
    <w:rsid w:val="005E1147"/>
    <w:rsid w:val="005E1A14"/>
    <w:rsid w:val="005E1A46"/>
    <w:rsid w:val="005E1A72"/>
    <w:rsid w:val="005E2D62"/>
    <w:rsid w:val="005E5C18"/>
    <w:rsid w:val="005E6294"/>
    <w:rsid w:val="005E6DA3"/>
    <w:rsid w:val="005E701C"/>
    <w:rsid w:val="005F0144"/>
    <w:rsid w:val="005F0F9A"/>
    <w:rsid w:val="005F1ECC"/>
    <w:rsid w:val="005F48F5"/>
    <w:rsid w:val="005F5996"/>
    <w:rsid w:val="005F6703"/>
    <w:rsid w:val="005F69FC"/>
    <w:rsid w:val="005F6F99"/>
    <w:rsid w:val="00600147"/>
    <w:rsid w:val="00601D9F"/>
    <w:rsid w:val="00601E53"/>
    <w:rsid w:val="00604154"/>
    <w:rsid w:val="006050AF"/>
    <w:rsid w:val="00605502"/>
    <w:rsid w:val="006059C9"/>
    <w:rsid w:val="0060672B"/>
    <w:rsid w:val="006073E1"/>
    <w:rsid w:val="00607CAB"/>
    <w:rsid w:val="00607EB7"/>
    <w:rsid w:val="006100F0"/>
    <w:rsid w:val="00610CCA"/>
    <w:rsid w:val="00611659"/>
    <w:rsid w:val="00613FC8"/>
    <w:rsid w:val="00614E3C"/>
    <w:rsid w:val="00620D64"/>
    <w:rsid w:val="00620E4C"/>
    <w:rsid w:val="00621C9F"/>
    <w:rsid w:val="006242CF"/>
    <w:rsid w:val="006267EF"/>
    <w:rsid w:val="006301F8"/>
    <w:rsid w:val="00635517"/>
    <w:rsid w:val="00636113"/>
    <w:rsid w:val="00641CCC"/>
    <w:rsid w:val="00642CFD"/>
    <w:rsid w:val="006432AE"/>
    <w:rsid w:val="0064464A"/>
    <w:rsid w:val="00644BAB"/>
    <w:rsid w:val="0064534D"/>
    <w:rsid w:val="006458BF"/>
    <w:rsid w:val="00645B3E"/>
    <w:rsid w:val="00646520"/>
    <w:rsid w:val="006468E7"/>
    <w:rsid w:val="00647D9D"/>
    <w:rsid w:val="0065224F"/>
    <w:rsid w:val="00652D2E"/>
    <w:rsid w:val="0065321D"/>
    <w:rsid w:val="0065451D"/>
    <w:rsid w:val="006559A4"/>
    <w:rsid w:val="00656002"/>
    <w:rsid w:val="00656153"/>
    <w:rsid w:val="0065650D"/>
    <w:rsid w:val="006604A5"/>
    <w:rsid w:val="00661D22"/>
    <w:rsid w:val="00663581"/>
    <w:rsid w:val="00663CB8"/>
    <w:rsid w:val="00665438"/>
    <w:rsid w:val="0066679C"/>
    <w:rsid w:val="00666AFC"/>
    <w:rsid w:val="00666EF5"/>
    <w:rsid w:val="0067008D"/>
    <w:rsid w:val="00672767"/>
    <w:rsid w:val="00672C8F"/>
    <w:rsid w:val="006732E4"/>
    <w:rsid w:val="00673E0C"/>
    <w:rsid w:val="00673E17"/>
    <w:rsid w:val="00675459"/>
    <w:rsid w:val="00675ED3"/>
    <w:rsid w:val="00676F3E"/>
    <w:rsid w:val="00681211"/>
    <w:rsid w:val="0068168B"/>
    <w:rsid w:val="00682E72"/>
    <w:rsid w:val="00683573"/>
    <w:rsid w:val="00684AE9"/>
    <w:rsid w:val="00685A6A"/>
    <w:rsid w:val="006869DA"/>
    <w:rsid w:val="00687D20"/>
    <w:rsid w:val="00687D7B"/>
    <w:rsid w:val="006911AD"/>
    <w:rsid w:val="00691CC2"/>
    <w:rsid w:val="00692E96"/>
    <w:rsid w:val="0069310A"/>
    <w:rsid w:val="00693524"/>
    <w:rsid w:val="00693903"/>
    <w:rsid w:val="006942F6"/>
    <w:rsid w:val="0069550B"/>
    <w:rsid w:val="00695751"/>
    <w:rsid w:val="00695A9D"/>
    <w:rsid w:val="00695B23"/>
    <w:rsid w:val="00695D07"/>
    <w:rsid w:val="006A0622"/>
    <w:rsid w:val="006A0904"/>
    <w:rsid w:val="006A2D56"/>
    <w:rsid w:val="006A467D"/>
    <w:rsid w:val="006A5801"/>
    <w:rsid w:val="006A6DF0"/>
    <w:rsid w:val="006B0544"/>
    <w:rsid w:val="006B19E1"/>
    <w:rsid w:val="006B2AF2"/>
    <w:rsid w:val="006B49C4"/>
    <w:rsid w:val="006B5405"/>
    <w:rsid w:val="006B63C9"/>
    <w:rsid w:val="006B65C6"/>
    <w:rsid w:val="006C04E2"/>
    <w:rsid w:val="006C127A"/>
    <w:rsid w:val="006C1393"/>
    <w:rsid w:val="006C1DCA"/>
    <w:rsid w:val="006C6656"/>
    <w:rsid w:val="006C7BA8"/>
    <w:rsid w:val="006D02BA"/>
    <w:rsid w:val="006D074F"/>
    <w:rsid w:val="006D1DB8"/>
    <w:rsid w:val="006D3670"/>
    <w:rsid w:val="006D41B5"/>
    <w:rsid w:val="006D420B"/>
    <w:rsid w:val="006D45DA"/>
    <w:rsid w:val="006D7286"/>
    <w:rsid w:val="006D7766"/>
    <w:rsid w:val="006E022C"/>
    <w:rsid w:val="006E5E50"/>
    <w:rsid w:val="006E7512"/>
    <w:rsid w:val="006E7C34"/>
    <w:rsid w:val="006F26EF"/>
    <w:rsid w:val="006F4C5D"/>
    <w:rsid w:val="006F5363"/>
    <w:rsid w:val="006F582E"/>
    <w:rsid w:val="006F6A3B"/>
    <w:rsid w:val="0070512C"/>
    <w:rsid w:val="00705899"/>
    <w:rsid w:val="00705A7E"/>
    <w:rsid w:val="00705F43"/>
    <w:rsid w:val="0070747E"/>
    <w:rsid w:val="00712443"/>
    <w:rsid w:val="007132C8"/>
    <w:rsid w:val="00714896"/>
    <w:rsid w:val="00715219"/>
    <w:rsid w:val="007228B9"/>
    <w:rsid w:val="00723B7C"/>
    <w:rsid w:val="00723B97"/>
    <w:rsid w:val="0072409E"/>
    <w:rsid w:val="00724EAF"/>
    <w:rsid w:val="00725297"/>
    <w:rsid w:val="007259D1"/>
    <w:rsid w:val="007279E4"/>
    <w:rsid w:val="0073050A"/>
    <w:rsid w:val="00731AAF"/>
    <w:rsid w:val="0073634F"/>
    <w:rsid w:val="00742DD5"/>
    <w:rsid w:val="00744795"/>
    <w:rsid w:val="007506B0"/>
    <w:rsid w:val="007508D0"/>
    <w:rsid w:val="00753EC5"/>
    <w:rsid w:val="00754672"/>
    <w:rsid w:val="00755436"/>
    <w:rsid w:val="00757192"/>
    <w:rsid w:val="00760B3A"/>
    <w:rsid w:val="00760F22"/>
    <w:rsid w:val="00762195"/>
    <w:rsid w:val="007626BA"/>
    <w:rsid w:val="00764CC7"/>
    <w:rsid w:val="0076593F"/>
    <w:rsid w:val="007668BD"/>
    <w:rsid w:val="00766AF9"/>
    <w:rsid w:val="00774A36"/>
    <w:rsid w:val="00775598"/>
    <w:rsid w:val="00775842"/>
    <w:rsid w:val="0077769F"/>
    <w:rsid w:val="00777DE8"/>
    <w:rsid w:val="007807B8"/>
    <w:rsid w:val="00781A8B"/>
    <w:rsid w:val="00782B5C"/>
    <w:rsid w:val="00782B69"/>
    <w:rsid w:val="00783399"/>
    <w:rsid w:val="00783C48"/>
    <w:rsid w:val="00784F2E"/>
    <w:rsid w:val="007853FC"/>
    <w:rsid w:val="007858D0"/>
    <w:rsid w:val="00785ABB"/>
    <w:rsid w:val="00785D00"/>
    <w:rsid w:val="00793C21"/>
    <w:rsid w:val="0079420C"/>
    <w:rsid w:val="00795206"/>
    <w:rsid w:val="00795937"/>
    <w:rsid w:val="007977B7"/>
    <w:rsid w:val="00797E12"/>
    <w:rsid w:val="007A0206"/>
    <w:rsid w:val="007A023C"/>
    <w:rsid w:val="007A0290"/>
    <w:rsid w:val="007A3386"/>
    <w:rsid w:val="007A4969"/>
    <w:rsid w:val="007A49BC"/>
    <w:rsid w:val="007A4D2F"/>
    <w:rsid w:val="007A5A5C"/>
    <w:rsid w:val="007B07D5"/>
    <w:rsid w:val="007B08B3"/>
    <w:rsid w:val="007B2A98"/>
    <w:rsid w:val="007B2E31"/>
    <w:rsid w:val="007B69BD"/>
    <w:rsid w:val="007C1C5C"/>
    <w:rsid w:val="007C31F9"/>
    <w:rsid w:val="007C6E8A"/>
    <w:rsid w:val="007D46BD"/>
    <w:rsid w:val="007D4BBF"/>
    <w:rsid w:val="007D7A4C"/>
    <w:rsid w:val="007E0CE0"/>
    <w:rsid w:val="007E66A1"/>
    <w:rsid w:val="007E730B"/>
    <w:rsid w:val="007E7432"/>
    <w:rsid w:val="007E7A08"/>
    <w:rsid w:val="007E7BCE"/>
    <w:rsid w:val="007E7EDE"/>
    <w:rsid w:val="007F04CE"/>
    <w:rsid w:val="007F0A23"/>
    <w:rsid w:val="007F1350"/>
    <w:rsid w:val="007F1537"/>
    <w:rsid w:val="007F3A35"/>
    <w:rsid w:val="007F5B22"/>
    <w:rsid w:val="007F5CF2"/>
    <w:rsid w:val="007F5DA5"/>
    <w:rsid w:val="007F5E92"/>
    <w:rsid w:val="00800589"/>
    <w:rsid w:val="00801B44"/>
    <w:rsid w:val="00805167"/>
    <w:rsid w:val="0080593F"/>
    <w:rsid w:val="00806034"/>
    <w:rsid w:val="00806781"/>
    <w:rsid w:val="0081161F"/>
    <w:rsid w:val="0081191A"/>
    <w:rsid w:val="00812C0E"/>
    <w:rsid w:val="00814548"/>
    <w:rsid w:val="00816196"/>
    <w:rsid w:val="00816735"/>
    <w:rsid w:val="00817851"/>
    <w:rsid w:val="00817F1A"/>
    <w:rsid w:val="008223DA"/>
    <w:rsid w:val="00824AB2"/>
    <w:rsid w:val="00826C17"/>
    <w:rsid w:val="00826CE0"/>
    <w:rsid w:val="00827274"/>
    <w:rsid w:val="008276EC"/>
    <w:rsid w:val="00830039"/>
    <w:rsid w:val="00830288"/>
    <w:rsid w:val="008302E7"/>
    <w:rsid w:val="00830430"/>
    <w:rsid w:val="00832832"/>
    <w:rsid w:val="00833002"/>
    <w:rsid w:val="008336F5"/>
    <w:rsid w:val="00834BA9"/>
    <w:rsid w:val="008358A7"/>
    <w:rsid w:val="00837109"/>
    <w:rsid w:val="00840716"/>
    <w:rsid w:val="00841067"/>
    <w:rsid w:val="00842FB2"/>
    <w:rsid w:val="008433C6"/>
    <w:rsid w:val="00843727"/>
    <w:rsid w:val="0084407B"/>
    <w:rsid w:val="00844349"/>
    <w:rsid w:val="00845DF7"/>
    <w:rsid w:val="00845E7E"/>
    <w:rsid w:val="008503BE"/>
    <w:rsid w:val="00850811"/>
    <w:rsid w:val="00851A37"/>
    <w:rsid w:val="00851C91"/>
    <w:rsid w:val="00851F59"/>
    <w:rsid w:val="0085290E"/>
    <w:rsid w:val="00853689"/>
    <w:rsid w:val="00853F34"/>
    <w:rsid w:val="00856419"/>
    <w:rsid w:val="008567C7"/>
    <w:rsid w:val="00856D45"/>
    <w:rsid w:val="008575BB"/>
    <w:rsid w:val="008613F5"/>
    <w:rsid w:val="00861E46"/>
    <w:rsid w:val="00861F2E"/>
    <w:rsid w:val="008666B4"/>
    <w:rsid w:val="00867224"/>
    <w:rsid w:val="00867286"/>
    <w:rsid w:val="0086768A"/>
    <w:rsid w:val="00867FD8"/>
    <w:rsid w:val="00870631"/>
    <w:rsid w:val="00870CA3"/>
    <w:rsid w:val="00872B1B"/>
    <w:rsid w:val="00872BB4"/>
    <w:rsid w:val="00873A83"/>
    <w:rsid w:val="00873CDB"/>
    <w:rsid w:val="00874B43"/>
    <w:rsid w:val="008755BE"/>
    <w:rsid w:val="00875DD7"/>
    <w:rsid w:val="008761A2"/>
    <w:rsid w:val="00877432"/>
    <w:rsid w:val="00882132"/>
    <w:rsid w:val="00882F80"/>
    <w:rsid w:val="0088372E"/>
    <w:rsid w:val="00883C14"/>
    <w:rsid w:val="00883EFF"/>
    <w:rsid w:val="008848B9"/>
    <w:rsid w:val="00885567"/>
    <w:rsid w:val="00885AC8"/>
    <w:rsid w:val="00886CFD"/>
    <w:rsid w:val="00887700"/>
    <w:rsid w:val="00887D34"/>
    <w:rsid w:val="008901DA"/>
    <w:rsid w:val="0089067A"/>
    <w:rsid w:val="00892086"/>
    <w:rsid w:val="008931E0"/>
    <w:rsid w:val="0089514D"/>
    <w:rsid w:val="00895C5B"/>
    <w:rsid w:val="008A0290"/>
    <w:rsid w:val="008A02AF"/>
    <w:rsid w:val="008A0936"/>
    <w:rsid w:val="008A0984"/>
    <w:rsid w:val="008A2811"/>
    <w:rsid w:val="008A28A9"/>
    <w:rsid w:val="008A321A"/>
    <w:rsid w:val="008A36AE"/>
    <w:rsid w:val="008A4738"/>
    <w:rsid w:val="008A476A"/>
    <w:rsid w:val="008A5637"/>
    <w:rsid w:val="008A5A42"/>
    <w:rsid w:val="008A5E41"/>
    <w:rsid w:val="008A622B"/>
    <w:rsid w:val="008A7EB4"/>
    <w:rsid w:val="008B0B0C"/>
    <w:rsid w:val="008B24FA"/>
    <w:rsid w:val="008B31C8"/>
    <w:rsid w:val="008B77C4"/>
    <w:rsid w:val="008B7F66"/>
    <w:rsid w:val="008C20B8"/>
    <w:rsid w:val="008C22C7"/>
    <w:rsid w:val="008C430E"/>
    <w:rsid w:val="008C5CB0"/>
    <w:rsid w:val="008D1981"/>
    <w:rsid w:val="008D2887"/>
    <w:rsid w:val="008D368E"/>
    <w:rsid w:val="008D6E26"/>
    <w:rsid w:val="008D6EE4"/>
    <w:rsid w:val="008D7799"/>
    <w:rsid w:val="008E0422"/>
    <w:rsid w:val="008E0726"/>
    <w:rsid w:val="008E0C90"/>
    <w:rsid w:val="008E0CC6"/>
    <w:rsid w:val="008E1DC9"/>
    <w:rsid w:val="008E1F21"/>
    <w:rsid w:val="008E38A8"/>
    <w:rsid w:val="008E5E1A"/>
    <w:rsid w:val="008E69EC"/>
    <w:rsid w:val="008E7199"/>
    <w:rsid w:val="008F1762"/>
    <w:rsid w:val="008F1BDC"/>
    <w:rsid w:val="008F2746"/>
    <w:rsid w:val="008F2763"/>
    <w:rsid w:val="008F5012"/>
    <w:rsid w:val="008F66C1"/>
    <w:rsid w:val="008F734D"/>
    <w:rsid w:val="008F7DFA"/>
    <w:rsid w:val="00900800"/>
    <w:rsid w:val="0090284C"/>
    <w:rsid w:val="009039B1"/>
    <w:rsid w:val="009061D8"/>
    <w:rsid w:val="00907DB5"/>
    <w:rsid w:val="00910F66"/>
    <w:rsid w:val="00911458"/>
    <w:rsid w:val="00912E04"/>
    <w:rsid w:val="00913995"/>
    <w:rsid w:val="00914026"/>
    <w:rsid w:val="00914313"/>
    <w:rsid w:val="00920D67"/>
    <w:rsid w:val="009226D2"/>
    <w:rsid w:val="009234B9"/>
    <w:rsid w:val="009244D6"/>
    <w:rsid w:val="0092502F"/>
    <w:rsid w:val="00926165"/>
    <w:rsid w:val="00926CF0"/>
    <w:rsid w:val="00927708"/>
    <w:rsid w:val="00930396"/>
    <w:rsid w:val="00930C61"/>
    <w:rsid w:val="009313AE"/>
    <w:rsid w:val="0093151B"/>
    <w:rsid w:val="00936525"/>
    <w:rsid w:val="009379B8"/>
    <w:rsid w:val="00937D37"/>
    <w:rsid w:val="009404A9"/>
    <w:rsid w:val="009413FD"/>
    <w:rsid w:val="00942927"/>
    <w:rsid w:val="009446CD"/>
    <w:rsid w:val="009446D6"/>
    <w:rsid w:val="00945DA5"/>
    <w:rsid w:val="00946522"/>
    <w:rsid w:val="0094757A"/>
    <w:rsid w:val="0095078D"/>
    <w:rsid w:val="0095112A"/>
    <w:rsid w:val="00951504"/>
    <w:rsid w:val="00951789"/>
    <w:rsid w:val="00951CB2"/>
    <w:rsid w:val="009545CB"/>
    <w:rsid w:val="00955B2C"/>
    <w:rsid w:val="00955C77"/>
    <w:rsid w:val="00955DBB"/>
    <w:rsid w:val="00956CA5"/>
    <w:rsid w:val="00956E46"/>
    <w:rsid w:val="009572D9"/>
    <w:rsid w:val="00962618"/>
    <w:rsid w:val="009646DB"/>
    <w:rsid w:val="009671BB"/>
    <w:rsid w:val="00967FB2"/>
    <w:rsid w:val="00970D5E"/>
    <w:rsid w:val="0097335F"/>
    <w:rsid w:val="0097358A"/>
    <w:rsid w:val="0097496A"/>
    <w:rsid w:val="0097729D"/>
    <w:rsid w:val="00977E2F"/>
    <w:rsid w:val="009817C5"/>
    <w:rsid w:val="00981A4B"/>
    <w:rsid w:val="00981C16"/>
    <w:rsid w:val="00986A02"/>
    <w:rsid w:val="00990C3B"/>
    <w:rsid w:val="009917BE"/>
    <w:rsid w:val="0099205A"/>
    <w:rsid w:val="009929F7"/>
    <w:rsid w:val="009939CE"/>
    <w:rsid w:val="00994656"/>
    <w:rsid w:val="00994BA2"/>
    <w:rsid w:val="00995ACD"/>
    <w:rsid w:val="0099796D"/>
    <w:rsid w:val="00997D1A"/>
    <w:rsid w:val="009A02D0"/>
    <w:rsid w:val="009A1693"/>
    <w:rsid w:val="009A1C85"/>
    <w:rsid w:val="009A21A6"/>
    <w:rsid w:val="009A27F0"/>
    <w:rsid w:val="009A44AF"/>
    <w:rsid w:val="009A4554"/>
    <w:rsid w:val="009A5193"/>
    <w:rsid w:val="009A6329"/>
    <w:rsid w:val="009A6C97"/>
    <w:rsid w:val="009A7106"/>
    <w:rsid w:val="009B0060"/>
    <w:rsid w:val="009B4A30"/>
    <w:rsid w:val="009B7A36"/>
    <w:rsid w:val="009C0F46"/>
    <w:rsid w:val="009C39B5"/>
    <w:rsid w:val="009C5F3C"/>
    <w:rsid w:val="009D2123"/>
    <w:rsid w:val="009D2E3E"/>
    <w:rsid w:val="009D415B"/>
    <w:rsid w:val="009D42E2"/>
    <w:rsid w:val="009D4A88"/>
    <w:rsid w:val="009D6D5C"/>
    <w:rsid w:val="009D75AD"/>
    <w:rsid w:val="009E0CCF"/>
    <w:rsid w:val="009E19CC"/>
    <w:rsid w:val="009E4D2D"/>
    <w:rsid w:val="009E57A1"/>
    <w:rsid w:val="009F020B"/>
    <w:rsid w:val="009F07C4"/>
    <w:rsid w:val="009F1E24"/>
    <w:rsid w:val="009F2E66"/>
    <w:rsid w:val="009F33AE"/>
    <w:rsid w:val="009F3FD6"/>
    <w:rsid w:val="009F5ACB"/>
    <w:rsid w:val="009F70B7"/>
    <w:rsid w:val="009F7AD0"/>
    <w:rsid w:val="00A045E1"/>
    <w:rsid w:val="00A05106"/>
    <w:rsid w:val="00A05A71"/>
    <w:rsid w:val="00A067DD"/>
    <w:rsid w:val="00A06994"/>
    <w:rsid w:val="00A072AF"/>
    <w:rsid w:val="00A072E0"/>
    <w:rsid w:val="00A07387"/>
    <w:rsid w:val="00A10A4F"/>
    <w:rsid w:val="00A10CBD"/>
    <w:rsid w:val="00A10DFB"/>
    <w:rsid w:val="00A1200D"/>
    <w:rsid w:val="00A122FF"/>
    <w:rsid w:val="00A12704"/>
    <w:rsid w:val="00A128A9"/>
    <w:rsid w:val="00A14813"/>
    <w:rsid w:val="00A15F0D"/>
    <w:rsid w:val="00A163D2"/>
    <w:rsid w:val="00A17E84"/>
    <w:rsid w:val="00A206DB"/>
    <w:rsid w:val="00A23967"/>
    <w:rsid w:val="00A26493"/>
    <w:rsid w:val="00A27B26"/>
    <w:rsid w:val="00A31B88"/>
    <w:rsid w:val="00A31C5C"/>
    <w:rsid w:val="00A31D1C"/>
    <w:rsid w:val="00A31DAC"/>
    <w:rsid w:val="00A3286C"/>
    <w:rsid w:val="00A37350"/>
    <w:rsid w:val="00A37AA3"/>
    <w:rsid w:val="00A413F2"/>
    <w:rsid w:val="00A42CE7"/>
    <w:rsid w:val="00A4369F"/>
    <w:rsid w:val="00A43B5E"/>
    <w:rsid w:val="00A4401D"/>
    <w:rsid w:val="00A4581D"/>
    <w:rsid w:val="00A46ED6"/>
    <w:rsid w:val="00A47390"/>
    <w:rsid w:val="00A53A92"/>
    <w:rsid w:val="00A54487"/>
    <w:rsid w:val="00A54563"/>
    <w:rsid w:val="00A559AD"/>
    <w:rsid w:val="00A55F18"/>
    <w:rsid w:val="00A56AB8"/>
    <w:rsid w:val="00A57CD7"/>
    <w:rsid w:val="00A613BF"/>
    <w:rsid w:val="00A61B58"/>
    <w:rsid w:val="00A6336F"/>
    <w:rsid w:val="00A638BF"/>
    <w:rsid w:val="00A6481F"/>
    <w:rsid w:val="00A654AF"/>
    <w:rsid w:val="00A66AC2"/>
    <w:rsid w:val="00A677B7"/>
    <w:rsid w:val="00A70CC9"/>
    <w:rsid w:val="00A7143F"/>
    <w:rsid w:val="00A738DF"/>
    <w:rsid w:val="00A740BF"/>
    <w:rsid w:val="00A80243"/>
    <w:rsid w:val="00A81933"/>
    <w:rsid w:val="00A81A80"/>
    <w:rsid w:val="00A846BC"/>
    <w:rsid w:val="00A85A7D"/>
    <w:rsid w:val="00A85B7C"/>
    <w:rsid w:val="00A905E8"/>
    <w:rsid w:val="00A91453"/>
    <w:rsid w:val="00A91843"/>
    <w:rsid w:val="00A9248C"/>
    <w:rsid w:val="00A935EE"/>
    <w:rsid w:val="00A94307"/>
    <w:rsid w:val="00A951CF"/>
    <w:rsid w:val="00A95286"/>
    <w:rsid w:val="00A97732"/>
    <w:rsid w:val="00AA01AD"/>
    <w:rsid w:val="00AA09DA"/>
    <w:rsid w:val="00AA1140"/>
    <w:rsid w:val="00AA1D6A"/>
    <w:rsid w:val="00AA22BF"/>
    <w:rsid w:val="00AA3478"/>
    <w:rsid w:val="00AA51BF"/>
    <w:rsid w:val="00AA524E"/>
    <w:rsid w:val="00AA5B91"/>
    <w:rsid w:val="00AA6E49"/>
    <w:rsid w:val="00AB0187"/>
    <w:rsid w:val="00AB04FA"/>
    <w:rsid w:val="00AB0CD2"/>
    <w:rsid w:val="00AB1654"/>
    <w:rsid w:val="00AB1ECE"/>
    <w:rsid w:val="00AB3BF6"/>
    <w:rsid w:val="00AB462A"/>
    <w:rsid w:val="00AB4A4D"/>
    <w:rsid w:val="00AB5856"/>
    <w:rsid w:val="00AC00FA"/>
    <w:rsid w:val="00AC21F2"/>
    <w:rsid w:val="00AC2387"/>
    <w:rsid w:val="00AC256D"/>
    <w:rsid w:val="00AC30E9"/>
    <w:rsid w:val="00AC3F8D"/>
    <w:rsid w:val="00AC55E3"/>
    <w:rsid w:val="00AC56B8"/>
    <w:rsid w:val="00AC5BAB"/>
    <w:rsid w:val="00AC60EF"/>
    <w:rsid w:val="00AC7764"/>
    <w:rsid w:val="00AD11A3"/>
    <w:rsid w:val="00AD1AB1"/>
    <w:rsid w:val="00AD2DE2"/>
    <w:rsid w:val="00AD3C3C"/>
    <w:rsid w:val="00AD50EE"/>
    <w:rsid w:val="00AD5100"/>
    <w:rsid w:val="00AD67E2"/>
    <w:rsid w:val="00AD7111"/>
    <w:rsid w:val="00AE0638"/>
    <w:rsid w:val="00AE1F88"/>
    <w:rsid w:val="00AE26B5"/>
    <w:rsid w:val="00AE34FF"/>
    <w:rsid w:val="00AE595D"/>
    <w:rsid w:val="00AE5A07"/>
    <w:rsid w:val="00AE7DF2"/>
    <w:rsid w:val="00AF0FE8"/>
    <w:rsid w:val="00AF19E1"/>
    <w:rsid w:val="00AF241D"/>
    <w:rsid w:val="00AF2E2F"/>
    <w:rsid w:val="00AF38B3"/>
    <w:rsid w:val="00AF38E4"/>
    <w:rsid w:val="00AF3C9D"/>
    <w:rsid w:val="00AF3E5C"/>
    <w:rsid w:val="00AF4731"/>
    <w:rsid w:val="00B02645"/>
    <w:rsid w:val="00B029D6"/>
    <w:rsid w:val="00B03FBC"/>
    <w:rsid w:val="00B04501"/>
    <w:rsid w:val="00B056FB"/>
    <w:rsid w:val="00B058BB"/>
    <w:rsid w:val="00B06589"/>
    <w:rsid w:val="00B11C2D"/>
    <w:rsid w:val="00B1209F"/>
    <w:rsid w:val="00B1265B"/>
    <w:rsid w:val="00B12B47"/>
    <w:rsid w:val="00B12DC7"/>
    <w:rsid w:val="00B13073"/>
    <w:rsid w:val="00B153D7"/>
    <w:rsid w:val="00B179F9"/>
    <w:rsid w:val="00B17A92"/>
    <w:rsid w:val="00B2057F"/>
    <w:rsid w:val="00B20D9C"/>
    <w:rsid w:val="00B21BBC"/>
    <w:rsid w:val="00B23301"/>
    <w:rsid w:val="00B242B4"/>
    <w:rsid w:val="00B2448F"/>
    <w:rsid w:val="00B24E2B"/>
    <w:rsid w:val="00B24FD5"/>
    <w:rsid w:val="00B257F1"/>
    <w:rsid w:val="00B25D54"/>
    <w:rsid w:val="00B268C3"/>
    <w:rsid w:val="00B26B69"/>
    <w:rsid w:val="00B27170"/>
    <w:rsid w:val="00B275D1"/>
    <w:rsid w:val="00B31635"/>
    <w:rsid w:val="00B31ED0"/>
    <w:rsid w:val="00B320DD"/>
    <w:rsid w:val="00B34720"/>
    <w:rsid w:val="00B357BE"/>
    <w:rsid w:val="00B35AEE"/>
    <w:rsid w:val="00B400CB"/>
    <w:rsid w:val="00B41913"/>
    <w:rsid w:val="00B4552C"/>
    <w:rsid w:val="00B4576E"/>
    <w:rsid w:val="00B4625E"/>
    <w:rsid w:val="00B46777"/>
    <w:rsid w:val="00B4688F"/>
    <w:rsid w:val="00B46D32"/>
    <w:rsid w:val="00B47744"/>
    <w:rsid w:val="00B57937"/>
    <w:rsid w:val="00B57E82"/>
    <w:rsid w:val="00B61B5E"/>
    <w:rsid w:val="00B61F5D"/>
    <w:rsid w:val="00B62E40"/>
    <w:rsid w:val="00B645B9"/>
    <w:rsid w:val="00B64B99"/>
    <w:rsid w:val="00B660F1"/>
    <w:rsid w:val="00B661B6"/>
    <w:rsid w:val="00B669C8"/>
    <w:rsid w:val="00B7045C"/>
    <w:rsid w:val="00B71022"/>
    <w:rsid w:val="00B71A66"/>
    <w:rsid w:val="00B71BB0"/>
    <w:rsid w:val="00B71BBD"/>
    <w:rsid w:val="00B72857"/>
    <w:rsid w:val="00B72DA0"/>
    <w:rsid w:val="00B74925"/>
    <w:rsid w:val="00B74A92"/>
    <w:rsid w:val="00B81062"/>
    <w:rsid w:val="00B818BD"/>
    <w:rsid w:val="00B824ED"/>
    <w:rsid w:val="00B82523"/>
    <w:rsid w:val="00B82F80"/>
    <w:rsid w:val="00B830CC"/>
    <w:rsid w:val="00B843D0"/>
    <w:rsid w:val="00B84872"/>
    <w:rsid w:val="00B84BD3"/>
    <w:rsid w:val="00B867CF"/>
    <w:rsid w:val="00B87DD2"/>
    <w:rsid w:val="00B87E6A"/>
    <w:rsid w:val="00B9106A"/>
    <w:rsid w:val="00B92637"/>
    <w:rsid w:val="00B93260"/>
    <w:rsid w:val="00B93566"/>
    <w:rsid w:val="00B9479F"/>
    <w:rsid w:val="00B94E9C"/>
    <w:rsid w:val="00B95D8C"/>
    <w:rsid w:val="00B96FD8"/>
    <w:rsid w:val="00BA0008"/>
    <w:rsid w:val="00BA01AF"/>
    <w:rsid w:val="00BA0227"/>
    <w:rsid w:val="00BA2249"/>
    <w:rsid w:val="00BA36D1"/>
    <w:rsid w:val="00BA4CCC"/>
    <w:rsid w:val="00BA59CB"/>
    <w:rsid w:val="00BA7130"/>
    <w:rsid w:val="00BB0510"/>
    <w:rsid w:val="00BB066F"/>
    <w:rsid w:val="00BB0B67"/>
    <w:rsid w:val="00BB1911"/>
    <w:rsid w:val="00BB1CB4"/>
    <w:rsid w:val="00BB200E"/>
    <w:rsid w:val="00BB3C4E"/>
    <w:rsid w:val="00BB3D22"/>
    <w:rsid w:val="00BB6D99"/>
    <w:rsid w:val="00BB70DE"/>
    <w:rsid w:val="00BB76CD"/>
    <w:rsid w:val="00BB7785"/>
    <w:rsid w:val="00BC0ACE"/>
    <w:rsid w:val="00BC1DD3"/>
    <w:rsid w:val="00BC30B0"/>
    <w:rsid w:val="00BC3F70"/>
    <w:rsid w:val="00BC410A"/>
    <w:rsid w:val="00BC448B"/>
    <w:rsid w:val="00BC660F"/>
    <w:rsid w:val="00BD028B"/>
    <w:rsid w:val="00BD02B0"/>
    <w:rsid w:val="00BD5B34"/>
    <w:rsid w:val="00BD62E5"/>
    <w:rsid w:val="00BD6930"/>
    <w:rsid w:val="00BD6AC6"/>
    <w:rsid w:val="00BD7E34"/>
    <w:rsid w:val="00BD7E41"/>
    <w:rsid w:val="00BE1D12"/>
    <w:rsid w:val="00BE2B2B"/>
    <w:rsid w:val="00BE3DD6"/>
    <w:rsid w:val="00BE68DB"/>
    <w:rsid w:val="00BE6A5C"/>
    <w:rsid w:val="00BF023B"/>
    <w:rsid w:val="00BF13AF"/>
    <w:rsid w:val="00BF1A6D"/>
    <w:rsid w:val="00BF4AF7"/>
    <w:rsid w:val="00C013FD"/>
    <w:rsid w:val="00C05C69"/>
    <w:rsid w:val="00C10078"/>
    <w:rsid w:val="00C11B77"/>
    <w:rsid w:val="00C121E6"/>
    <w:rsid w:val="00C1383C"/>
    <w:rsid w:val="00C15502"/>
    <w:rsid w:val="00C15F8D"/>
    <w:rsid w:val="00C17275"/>
    <w:rsid w:val="00C202AB"/>
    <w:rsid w:val="00C207F7"/>
    <w:rsid w:val="00C221F4"/>
    <w:rsid w:val="00C222C0"/>
    <w:rsid w:val="00C229C2"/>
    <w:rsid w:val="00C22A11"/>
    <w:rsid w:val="00C22BF0"/>
    <w:rsid w:val="00C2351D"/>
    <w:rsid w:val="00C23719"/>
    <w:rsid w:val="00C24697"/>
    <w:rsid w:val="00C252BB"/>
    <w:rsid w:val="00C25B2D"/>
    <w:rsid w:val="00C2620A"/>
    <w:rsid w:val="00C26721"/>
    <w:rsid w:val="00C26724"/>
    <w:rsid w:val="00C269EB"/>
    <w:rsid w:val="00C27C23"/>
    <w:rsid w:val="00C3045E"/>
    <w:rsid w:val="00C31575"/>
    <w:rsid w:val="00C3330C"/>
    <w:rsid w:val="00C3436A"/>
    <w:rsid w:val="00C352EB"/>
    <w:rsid w:val="00C35E6A"/>
    <w:rsid w:val="00C37352"/>
    <w:rsid w:val="00C37CBB"/>
    <w:rsid w:val="00C44772"/>
    <w:rsid w:val="00C45928"/>
    <w:rsid w:val="00C4659E"/>
    <w:rsid w:val="00C477C0"/>
    <w:rsid w:val="00C50112"/>
    <w:rsid w:val="00C51B3A"/>
    <w:rsid w:val="00C5205D"/>
    <w:rsid w:val="00C52285"/>
    <w:rsid w:val="00C55F44"/>
    <w:rsid w:val="00C56D8E"/>
    <w:rsid w:val="00C60493"/>
    <w:rsid w:val="00C60BF8"/>
    <w:rsid w:val="00C61E69"/>
    <w:rsid w:val="00C62328"/>
    <w:rsid w:val="00C64012"/>
    <w:rsid w:val="00C64185"/>
    <w:rsid w:val="00C644AF"/>
    <w:rsid w:val="00C65914"/>
    <w:rsid w:val="00C662EB"/>
    <w:rsid w:val="00C66A81"/>
    <w:rsid w:val="00C70834"/>
    <w:rsid w:val="00C71FBC"/>
    <w:rsid w:val="00C7551D"/>
    <w:rsid w:val="00C76F69"/>
    <w:rsid w:val="00C771F0"/>
    <w:rsid w:val="00C77F9F"/>
    <w:rsid w:val="00C803CB"/>
    <w:rsid w:val="00C81EAB"/>
    <w:rsid w:val="00C828CC"/>
    <w:rsid w:val="00C86063"/>
    <w:rsid w:val="00C87E11"/>
    <w:rsid w:val="00C936A3"/>
    <w:rsid w:val="00C937EB"/>
    <w:rsid w:val="00C96556"/>
    <w:rsid w:val="00C96D8D"/>
    <w:rsid w:val="00C97CB0"/>
    <w:rsid w:val="00CA0C7D"/>
    <w:rsid w:val="00CA2AAE"/>
    <w:rsid w:val="00CA3206"/>
    <w:rsid w:val="00CA4CC8"/>
    <w:rsid w:val="00CA51D3"/>
    <w:rsid w:val="00CA5C2C"/>
    <w:rsid w:val="00CA6E07"/>
    <w:rsid w:val="00CB09CB"/>
    <w:rsid w:val="00CB11B9"/>
    <w:rsid w:val="00CB1D91"/>
    <w:rsid w:val="00CB20B1"/>
    <w:rsid w:val="00CB2925"/>
    <w:rsid w:val="00CB3F57"/>
    <w:rsid w:val="00CB66E6"/>
    <w:rsid w:val="00CB7719"/>
    <w:rsid w:val="00CC07B7"/>
    <w:rsid w:val="00CC2C13"/>
    <w:rsid w:val="00CC41D1"/>
    <w:rsid w:val="00CC4918"/>
    <w:rsid w:val="00CC57A1"/>
    <w:rsid w:val="00CC662D"/>
    <w:rsid w:val="00CC73EE"/>
    <w:rsid w:val="00CD1C51"/>
    <w:rsid w:val="00CD3165"/>
    <w:rsid w:val="00CD32D9"/>
    <w:rsid w:val="00CE1AC7"/>
    <w:rsid w:val="00CE2FF5"/>
    <w:rsid w:val="00CE3329"/>
    <w:rsid w:val="00CE6653"/>
    <w:rsid w:val="00CE7B54"/>
    <w:rsid w:val="00CF05E8"/>
    <w:rsid w:val="00CF39FD"/>
    <w:rsid w:val="00CF5044"/>
    <w:rsid w:val="00CF717A"/>
    <w:rsid w:val="00CF7408"/>
    <w:rsid w:val="00CF7954"/>
    <w:rsid w:val="00D01464"/>
    <w:rsid w:val="00D01FDA"/>
    <w:rsid w:val="00D024CA"/>
    <w:rsid w:val="00D0252C"/>
    <w:rsid w:val="00D0268B"/>
    <w:rsid w:val="00D0313D"/>
    <w:rsid w:val="00D033F4"/>
    <w:rsid w:val="00D03634"/>
    <w:rsid w:val="00D04483"/>
    <w:rsid w:val="00D05798"/>
    <w:rsid w:val="00D10988"/>
    <w:rsid w:val="00D10BC5"/>
    <w:rsid w:val="00D10C87"/>
    <w:rsid w:val="00D11849"/>
    <w:rsid w:val="00D11E74"/>
    <w:rsid w:val="00D12146"/>
    <w:rsid w:val="00D13C22"/>
    <w:rsid w:val="00D1754D"/>
    <w:rsid w:val="00D21C36"/>
    <w:rsid w:val="00D24873"/>
    <w:rsid w:val="00D24DD6"/>
    <w:rsid w:val="00D24EEB"/>
    <w:rsid w:val="00D2529F"/>
    <w:rsid w:val="00D2640C"/>
    <w:rsid w:val="00D26DB7"/>
    <w:rsid w:val="00D274E1"/>
    <w:rsid w:val="00D27969"/>
    <w:rsid w:val="00D327B1"/>
    <w:rsid w:val="00D32A3C"/>
    <w:rsid w:val="00D32B8F"/>
    <w:rsid w:val="00D33CD7"/>
    <w:rsid w:val="00D33FF3"/>
    <w:rsid w:val="00D3422F"/>
    <w:rsid w:val="00D40559"/>
    <w:rsid w:val="00D423EC"/>
    <w:rsid w:val="00D431BB"/>
    <w:rsid w:val="00D436A2"/>
    <w:rsid w:val="00D45683"/>
    <w:rsid w:val="00D46B56"/>
    <w:rsid w:val="00D47098"/>
    <w:rsid w:val="00D474D3"/>
    <w:rsid w:val="00D47DFB"/>
    <w:rsid w:val="00D51B0D"/>
    <w:rsid w:val="00D52EB0"/>
    <w:rsid w:val="00D538C5"/>
    <w:rsid w:val="00D54726"/>
    <w:rsid w:val="00D620E3"/>
    <w:rsid w:val="00D632CF"/>
    <w:rsid w:val="00D63DD1"/>
    <w:rsid w:val="00D65905"/>
    <w:rsid w:val="00D65DB7"/>
    <w:rsid w:val="00D66328"/>
    <w:rsid w:val="00D71AF0"/>
    <w:rsid w:val="00D721A8"/>
    <w:rsid w:val="00D72A62"/>
    <w:rsid w:val="00D73719"/>
    <w:rsid w:val="00D73B32"/>
    <w:rsid w:val="00D742BA"/>
    <w:rsid w:val="00D7673E"/>
    <w:rsid w:val="00D76AEE"/>
    <w:rsid w:val="00D801B9"/>
    <w:rsid w:val="00D81623"/>
    <w:rsid w:val="00D81C22"/>
    <w:rsid w:val="00D81F06"/>
    <w:rsid w:val="00D82C5D"/>
    <w:rsid w:val="00D83651"/>
    <w:rsid w:val="00D83865"/>
    <w:rsid w:val="00D83B8A"/>
    <w:rsid w:val="00D85208"/>
    <w:rsid w:val="00D85315"/>
    <w:rsid w:val="00D85CE6"/>
    <w:rsid w:val="00D8628A"/>
    <w:rsid w:val="00D86CF8"/>
    <w:rsid w:val="00D86E0A"/>
    <w:rsid w:val="00D9004F"/>
    <w:rsid w:val="00D904D4"/>
    <w:rsid w:val="00D9052E"/>
    <w:rsid w:val="00D90E3E"/>
    <w:rsid w:val="00D90ED6"/>
    <w:rsid w:val="00D91D9D"/>
    <w:rsid w:val="00D925D7"/>
    <w:rsid w:val="00D93964"/>
    <w:rsid w:val="00D95604"/>
    <w:rsid w:val="00D96BDF"/>
    <w:rsid w:val="00DA0D19"/>
    <w:rsid w:val="00DA2F79"/>
    <w:rsid w:val="00DA3D77"/>
    <w:rsid w:val="00DA423C"/>
    <w:rsid w:val="00DA627D"/>
    <w:rsid w:val="00DA6AE5"/>
    <w:rsid w:val="00DA7204"/>
    <w:rsid w:val="00DA7A28"/>
    <w:rsid w:val="00DB0B0C"/>
    <w:rsid w:val="00DB20E0"/>
    <w:rsid w:val="00DB267F"/>
    <w:rsid w:val="00DB4710"/>
    <w:rsid w:val="00DB694F"/>
    <w:rsid w:val="00DB71C7"/>
    <w:rsid w:val="00DC16E0"/>
    <w:rsid w:val="00DC3061"/>
    <w:rsid w:val="00DC3171"/>
    <w:rsid w:val="00DC366E"/>
    <w:rsid w:val="00DC3E71"/>
    <w:rsid w:val="00DC4B5F"/>
    <w:rsid w:val="00DC6C89"/>
    <w:rsid w:val="00DC6E7E"/>
    <w:rsid w:val="00DD0735"/>
    <w:rsid w:val="00DD09CF"/>
    <w:rsid w:val="00DD0BAF"/>
    <w:rsid w:val="00DD0C4C"/>
    <w:rsid w:val="00DD1221"/>
    <w:rsid w:val="00DD1CE1"/>
    <w:rsid w:val="00DD2C70"/>
    <w:rsid w:val="00DD38DE"/>
    <w:rsid w:val="00DD3C95"/>
    <w:rsid w:val="00DD514E"/>
    <w:rsid w:val="00DD61EF"/>
    <w:rsid w:val="00DD66CF"/>
    <w:rsid w:val="00DE17A3"/>
    <w:rsid w:val="00DE541B"/>
    <w:rsid w:val="00DF3C7E"/>
    <w:rsid w:val="00DF3D35"/>
    <w:rsid w:val="00DF4127"/>
    <w:rsid w:val="00DF4BA2"/>
    <w:rsid w:val="00DF4CA8"/>
    <w:rsid w:val="00DF4DB7"/>
    <w:rsid w:val="00DF6725"/>
    <w:rsid w:val="00DF7CAB"/>
    <w:rsid w:val="00E01722"/>
    <w:rsid w:val="00E01D23"/>
    <w:rsid w:val="00E020D6"/>
    <w:rsid w:val="00E029B7"/>
    <w:rsid w:val="00E02C9D"/>
    <w:rsid w:val="00E043E3"/>
    <w:rsid w:val="00E044B5"/>
    <w:rsid w:val="00E0520E"/>
    <w:rsid w:val="00E053D1"/>
    <w:rsid w:val="00E05D60"/>
    <w:rsid w:val="00E06353"/>
    <w:rsid w:val="00E10AE2"/>
    <w:rsid w:val="00E10F10"/>
    <w:rsid w:val="00E13113"/>
    <w:rsid w:val="00E16289"/>
    <w:rsid w:val="00E1654C"/>
    <w:rsid w:val="00E170BA"/>
    <w:rsid w:val="00E17A80"/>
    <w:rsid w:val="00E20720"/>
    <w:rsid w:val="00E21186"/>
    <w:rsid w:val="00E2398A"/>
    <w:rsid w:val="00E24396"/>
    <w:rsid w:val="00E25541"/>
    <w:rsid w:val="00E25C06"/>
    <w:rsid w:val="00E261C4"/>
    <w:rsid w:val="00E274CD"/>
    <w:rsid w:val="00E27E33"/>
    <w:rsid w:val="00E27EDB"/>
    <w:rsid w:val="00E27EFD"/>
    <w:rsid w:val="00E313E8"/>
    <w:rsid w:val="00E319B9"/>
    <w:rsid w:val="00E31AEF"/>
    <w:rsid w:val="00E32040"/>
    <w:rsid w:val="00E322C0"/>
    <w:rsid w:val="00E323B0"/>
    <w:rsid w:val="00E328DC"/>
    <w:rsid w:val="00E3310E"/>
    <w:rsid w:val="00E336F3"/>
    <w:rsid w:val="00E3404B"/>
    <w:rsid w:val="00E35B14"/>
    <w:rsid w:val="00E3600E"/>
    <w:rsid w:val="00E405DE"/>
    <w:rsid w:val="00E43496"/>
    <w:rsid w:val="00E458B9"/>
    <w:rsid w:val="00E47723"/>
    <w:rsid w:val="00E50518"/>
    <w:rsid w:val="00E50E91"/>
    <w:rsid w:val="00E50F2E"/>
    <w:rsid w:val="00E51291"/>
    <w:rsid w:val="00E525BE"/>
    <w:rsid w:val="00E52ACF"/>
    <w:rsid w:val="00E530F5"/>
    <w:rsid w:val="00E54B76"/>
    <w:rsid w:val="00E562C0"/>
    <w:rsid w:val="00E56CDE"/>
    <w:rsid w:val="00E574A1"/>
    <w:rsid w:val="00E601C3"/>
    <w:rsid w:val="00E63B95"/>
    <w:rsid w:val="00E655E8"/>
    <w:rsid w:val="00E65B1A"/>
    <w:rsid w:val="00E66816"/>
    <w:rsid w:val="00E71CF9"/>
    <w:rsid w:val="00E720D0"/>
    <w:rsid w:val="00E7277A"/>
    <w:rsid w:val="00E73CBE"/>
    <w:rsid w:val="00E746D3"/>
    <w:rsid w:val="00E7550D"/>
    <w:rsid w:val="00E75CF0"/>
    <w:rsid w:val="00E76D6B"/>
    <w:rsid w:val="00E80903"/>
    <w:rsid w:val="00E819A4"/>
    <w:rsid w:val="00E81B5F"/>
    <w:rsid w:val="00E84115"/>
    <w:rsid w:val="00E8518C"/>
    <w:rsid w:val="00E91B7A"/>
    <w:rsid w:val="00E92F64"/>
    <w:rsid w:val="00E937FE"/>
    <w:rsid w:val="00E95E36"/>
    <w:rsid w:val="00E95F5E"/>
    <w:rsid w:val="00E97827"/>
    <w:rsid w:val="00EA0862"/>
    <w:rsid w:val="00EA1BCC"/>
    <w:rsid w:val="00EA2475"/>
    <w:rsid w:val="00EA34EA"/>
    <w:rsid w:val="00EA632C"/>
    <w:rsid w:val="00EA6728"/>
    <w:rsid w:val="00EA6FCE"/>
    <w:rsid w:val="00EA711C"/>
    <w:rsid w:val="00EB2D6F"/>
    <w:rsid w:val="00EB356A"/>
    <w:rsid w:val="00EB36F5"/>
    <w:rsid w:val="00EB4D72"/>
    <w:rsid w:val="00EB510C"/>
    <w:rsid w:val="00EB5539"/>
    <w:rsid w:val="00EB5E85"/>
    <w:rsid w:val="00EC0E92"/>
    <w:rsid w:val="00EC109E"/>
    <w:rsid w:val="00EC2B92"/>
    <w:rsid w:val="00EC4A97"/>
    <w:rsid w:val="00EC5737"/>
    <w:rsid w:val="00EC59FE"/>
    <w:rsid w:val="00EC624C"/>
    <w:rsid w:val="00EC6E82"/>
    <w:rsid w:val="00ED0BF2"/>
    <w:rsid w:val="00ED2055"/>
    <w:rsid w:val="00ED46CB"/>
    <w:rsid w:val="00ED62C3"/>
    <w:rsid w:val="00ED681B"/>
    <w:rsid w:val="00EE0622"/>
    <w:rsid w:val="00EE19DC"/>
    <w:rsid w:val="00EE1A50"/>
    <w:rsid w:val="00EE23B5"/>
    <w:rsid w:val="00EE3DD5"/>
    <w:rsid w:val="00EE41AA"/>
    <w:rsid w:val="00EE5069"/>
    <w:rsid w:val="00EE7A27"/>
    <w:rsid w:val="00EE7ED0"/>
    <w:rsid w:val="00EF1AC1"/>
    <w:rsid w:val="00EF26F4"/>
    <w:rsid w:val="00EF3507"/>
    <w:rsid w:val="00EF3FD5"/>
    <w:rsid w:val="00EF47D7"/>
    <w:rsid w:val="00EF579A"/>
    <w:rsid w:val="00EF5EE6"/>
    <w:rsid w:val="00EF6D91"/>
    <w:rsid w:val="00EF7085"/>
    <w:rsid w:val="00EF7854"/>
    <w:rsid w:val="00F00344"/>
    <w:rsid w:val="00F00CB2"/>
    <w:rsid w:val="00F02D8F"/>
    <w:rsid w:val="00F0487E"/>
    <w:rsid w:val="00F05158"/>
    <w:rsid w:val="00F07E72"/>
    <w:rsid w:val="00F101DA"/>
    <w:rsid w:val="00F1025F"/>
    <w:rsid w:val="00F104DC"/>
    <w:rsid w:val="00F11B61"/>
    <w:rsid w:val="00F1463F"/>
    <w:rsid w:val="00F14DBC"/>
    <w:rsid w:val="00F16AAC"/>
    <w:rsid w:val="00F20563"/>
    <w:rsid w:val="00F21578"/>
    <w:rsid w:val="00F22945"/>
    <w:rsid w:val="00F25C14"/>
    <w:rsid w:val="00F27F44"/>
    <w:rsid w:val="00F30A00"/>
    <w:rsid w:val="00F30A4C"/>
    <w:rsid w:val="00F31690"/>
    <w:rsid w:val="00F31C91"/>
    <w:rsid w:val="00F32D3F"/>
    <w:rsid w:val="00F32D8D"/>
    <w:rsid w:val="00F33B65"/>
    <w:rsid w:val="00F36396"/>
    <w:rsid w:val="00F37090"/>
    <w:rsid w:val="00F40417"/>
    <w:rsid w:val="00F40804"/>
    <w:rsid w:val="00F41508"/>
    <w:rsid w:val="00F42350"/>
    <w:rsid w:val="00F42471"/>
    <w:rsid w:val="00F434CD"/>
    <w:rsid w:val="00F44C51"/>
    <w:rsid w:val="00F44DE5"/>
    <w:rsid w:val="00F45BC8"/>
    <w:rsid w:val="00F46F52"/>
    <w:rsid w:val="00F47A06"/>
    <w:rsid w:val="00F47E25"/>
    <w:rsid w:val="00F523F6"/>
    <w:rsid w:val="00F5599B"/>
    <w:rsid w:val="00F55A5B"/>
    <w:rsid w:val="00F56AB4"/>
    <w:rsid w:val="00F571DE"/>
    <w:rsid w:val="00F57452"/>
    <w:rsid w:val="00F574AB"/>
    <w:rsid w:val="00F63AD6"/>
    <w:rsid w:val="00F64DF7"/>
    <w:rsid w:val="00F658DA"/>
    <w:rsid w:val="00F65F02"/>
    <w:rsid w:val="00F66F5D"/>
    <w:rsid w:val="00F674F2"/>
    <w:rsid w:val="00F67BB7"/>
    <w:rsid w:val="00F67CC8"/>
    <w:rsid w:val="00F67ED3"/>
    <w:rsid w:val="00F70106"/>
    <w:rsid w:val="00F7321F"/>
    <w:rsid w:val="00F74DA7"/>
    <w:rsid w:val="00F756D2"/>
    <w:rsid w:val="00F770BE"/>
    <w:rsid w:val="00F80344"/>
    <w:rsid w:val="00F80482"/>
    <w:rsid w:val="00F819A7"/>
    <w:rsid w:val="00F820AC"/>
    <w:rsid w:val="00F832E8"/>
    <w:rsid w:val="00F85553"/>
    <w:rsid w:val="00F85B4A"/>
    <w:rsid w:val="00F85DC6"/>
    <w:rsid w:val="00F86231"/>
    <w:rsid w:val="00F91E2B"/>
    <w:rsid w:val="00F91E9C"/>
    <w:rsid w:val="00F9258A"/>
    <w:rsid w:val="00F935CD"/>
    <w:rsid w:val="00F94040"/>
    <w:rsid w:val="00F94209"/>
    <w:rsid w:val="00F97744"/>
    <w:rsid w:val="00FA0A74"/>
    <w:rsid w:val="00FA3473"/>
    <w:rsid w:val="00FA35F1"/>
    <w:rsid w:val="00FA5FB3"/>
    <w:rsid w:val="00FA618C"/>
    <w:rsid w:val="00FA717B"/>
    <w:rsid w:val="00FA77A2"/>
    <w:rsid w:val="00FB06F4"/>
    <w:rsid w:val="00FB08B8"/>
    <w:rsid w:val="00FB0E89"/>
    <w:rsid w:val="00FB0ED1"/>
    <w:rsid w:val="00FB146E"/>
    <w:rsid w:val="00FB25F5"/>
    <w:rsid w:val="00FB27B9"/>
    <w:rsid w:val="00FB3446"/>
    <w:rsid w:val="00FB6B58"/>
    <w:rsid w:val="00FC13EE"/>
    <w:rsid w:val="00FC35CE"/>
    <w:rsid w:val="00FC5393"/>
    <w:rsid w:val="00FC6C3F"/>
    <w:rsid w:val="00FC6CC9"/>
    <w:rsid w:val="00FC6EAA"/>
    <w:rsid w:val="00FC7020"/>
    <w:rsid w:val="00FC766B"/>
    <w:rsid w:val="00FD0504"/>
    <w:rsid w:val="00FD11DA"/>
    <w:rsid w:val="00FD1478"/>
    <w:rsid w:val="00FD1482"/>
    <w:rsid w:val="00FD1F8E"/>
    <w:rsid w:val="00FD3CE9"/>
    <w:rsid w:val="00FD458E"/>
    <w:rsid w:val="00FD4774"/>
    <w:rsid w:val="00FE021C"/>
    <w:rsid w:val="00FE027E"/>
    <w:rsid w:val="00FE042F"/>
    <w:rsid w:val="00FE0D0A"/>
    <w:rsid w:val="00FE2532"/>
    <w:rsid w:val="00FE28A2"/>
    <w:rsid w:val="00FE4227"/>
    <w:rsid w:val="00FE6262"/>
    <w:rsid w:val="00FE62FE"/>
    <w:rsid w:val="00FE6934"/>
    <w:rsid w:val="00FF012C"/>
    <w:rsid w:val="00FF0C77"/>
    <w:rsid w:val="00FF11C2"/>
    <w:rsid w:val="00FF1A68"/>
    <w:rsid w:val="00FF2416"/>
    <w:rsid w:val="00FF65EE"/>
    <w:rsid w:val="00FF6793"/>
    <w:rsid w:val="00FF68F7"/>
    <w:rsid w:val="01984370"/>
    <w:rsid w:val="01A8C292"/>
    <w:rsid w:val="03A93C09"/>
    <w:rsid w:val="05FE8108"/>
    <w:rsid w:val="07EC8306"/>
    <w:rsid w:val="08736865"/>
    <w:rsid w:val="08D2038D"/>
    <w:rsid w:val="0C0AF5BA"/>
    <w:rsid w:val="0C9AA16A"/>
    <w:rsid w:val="0CAA9FC1"/>
    <w:rsid w:val="0CFA263A"/>
    <w:rsid w:val="0D317F98"/>
    <w:rsid w:val="0D98C1F9"/>
    <w:rsid w:val="0DCE4BCA"/>
    <w:rsid w:val="0F65F632"/>
    <w:rsid w:val="1038B6A6"/>
    <w:rsid w:val="105DDB19"/>
    <w:rsid w:val="111C00DF"/>
    <w:rsid w:val="111C61B3"/>
    <w:rsid w:val="11466535"/>
    <w:rsid w:val="1311744A"/>
    <w:rsid w:val="137C1014"/>
    <w:rsid w:val="13E07349"/>
    <w:rsid w:val="1436E6C1"/>
    <w:rsid w:val="1449C123"/>
    <w:rsid w:val="146DD36E"/>
    <w:rsid w:val="15F4294C"/>
    <w:rsid w:val="16385D08"/>
    <w:rsid w:val="173BD8F6"/>
    <w:rsid w:val="1781B75E"/>
    <w:rsid w:val="17B793D9"/>
    <w:rsid w:val="185DB4D4"/>
    <w:rsid w:val="18C9F4F6"/>
    <w:rsid w:val="1937E375"/>
    <w:rsid w:val="19AA51D5"/>
    <w:rsid w:val="1A3524FE"/>
    <w:rsid w:val="1A89810B"/>
    <w:rsid w:val="1AE66FC8"/>
    <w:rsid w:val="1B004360"/>
    <w:rsid w:val="1B8DB8B4"/>
    <w:rsid w:val="1BEFF952"/>
    <w:rsid w:val="1C4C06FD"/>
    <w:rsid w:val="1DE7AD14"/>
    <w:rsid w:val="1EB1D012"/>
    <w:rsid w:val="1F073595"/>
    <w:rsid w:val="206F353F"/>
    <w:rsid w:val="211D3245"/>
    <w:rsid w:val="21229A06"/>
    <w:rsid w:val="2278E054"/>
    <w:rsid w:val="2319BC56"/>
    <w:rsid w:val="24DE8C1B"/>
    <w:rsid w:val="262657C0"/>
    <w:rsid w:val="271D2813"/>
    <w:rsid w:val="27C31EAA"/>
    <w:rsid w:val="283A4573"/>
    <w:rsid w:val="2871C396"/>
    <w:rsid w:val="29A54487"/>
    <w:rsid w:val="29C37941"/>
    <w:rsid w:val="2A1FF36E"/>
    <w:rsid w:val="2BE5F010"/>
    <w:rsid w:val="2C9F75F5"/>
    <w:rsid w:val="2E2A3F3C"/>
    <w:rsid w:val="2FA8F7C7"/>
    <w:rsid w:val="31E3CBC3"/>
    <w:rsid w:val="325D232D"/>
    <w:rsid w:val="32B1D08A"/>
    <w:rsid w:val="334E0557"/>
    <w:rsid w:val="33F7F364"/>
    <w:rsid w:val="35020A11"/>
    <w:rsid w:val="36C64DB8"/>
    <w:rsid w:val="37A7EAAB"/>
    <w:rsid w:val="387A11F3"/>
    <w:rsid w:val="38ECD6B9"/>
    <w:rsid w:val="3938B6B8"/>
    <w:rsid w:val="395E24CB"/>
    <w:rsid w:val="3A91B444"/>
    <w:rsid w:val="3C6A8890"/>
    <w:rsid w:val="3C934545"/>
    <w:rsid w:val="3CF718E8"/>
    <w:rsid w:val="3D42EAC0"/>
    <w:rsid w:val="3ECB85BA"/>
    <w:rsid w:val="3EF6DAD6"/>
    <w:rsid w:val="3F5EE050"/>
    <w:rsid w:val="400657B1"/>
    <w:rsid w:val="40C58FC3"/>
    <w:rsid w:val="41482A39"/>
    <w:rsid w:val="427185A8"/>
    <w:rsid w:val="44486B26"/>
    <w:rsid w:val="45BECBA7"/>
    <w:rsid w:val="4696B0F9"/>
    <w:rsid w:val="470FE318"/>
    <w:rsid w:val="480C517F"/>
    <w:rsid w:val="481C2514"/>
    <w:rsid w:val="494E65FE"/>
    <w:rsid w:val="4BB5D058"/>
    <w:rsid w:val="4C6E40E0"/>
    <w:rsid w:val="4D06C5FB"/>
    <w:rsid w:val="4DD685A1"/>
    <w:rsid w:val="4E03A2FC"/>
    <w:rsid w:val="4F363BD8"/>
    <w:rsid w:val="4F5B8A15"/>
    <w:rsid w:val="4FD4DD39"/>
    <w:rsid w:val="50748AE8"/>
    <w:rsid w:val="5147E4B2"/>
    <w:rsid w:val="518CCBD4"/>
    <w:rsid w:val="51CDE352"/>
    <w:rsid w:val="524CBD7F"/>
    <w:rsid w:val="52E37AB9"/>
    <w:rsid w:val="5301FB02"/>
    <w:rsid w:val="530A6F08"/>
    <w:rsid w:val="530F49E0"/>
    <w:rsid w:val="53396388"/>
    <w:rsid w:val="546A456A"/>
    <w:rsid w:val="547021C5"/>
    <w:rsid w:val="54CF2AC0"/>
    <w:rsid w:val="551B757A"/>
    <w:rsid w:val="55739C1D"/>
    <w:rsid w:val="56FB4EC2"/>
    <w:rsid w:val="593B713C"/>
    <w:rsid w:val="596840FA"/>
    <w:rsid w:val="59DC3CA1"/>
    <w:rsid w:val="5A35FA0B"/>
    <w:rsid w:val="5A3F5AB4"/>
    <w:rsid w:val="5AE8A6A4"/>
    <w:rsid w:val="5B2EBC1B"/>
    <w:rsid w:val="5BA16317"/>
    <w:rsid w:val="5D7A2F62"/>
    <w:rsid w:val="5E4CDF5C"/>
    <w:rsid w:val="5E53B797"/>
    <w:rsid w:val="5EFAB076"/>
    <w:rsid w:val="5F97606A"/>
    <w:rsid w:val="607D2D0F"/>
    <w:rsid w:val="60F8F231"/>
    <w:rsid w:val="611C7880"/>
    <w:rsid w:val="61376F33"/>
    <w:rsid w:val="6345E4D3"/>
    <w:rsid w:val="656F286F"/>
    <w:rsid w:val="6638B2FD"/>
    <w:rsid w:val="666ACF59"/>
    <w:rsid w:val="67553563"/>
    <w:rsid w:val="6782A866"/>
    <w:rsid w:val="67AD2521"/>
    <w:rsid w:val="6A3C3282"/>
    <w:rsid w:val="6D8C77E6"/>
    <w:rsid w:val="6EFDDFF1"/>
    <w:rsid w:val="6FD9CED4"/>
    <w:rsid w:val="70BCE464"/>
    <w:rsid w:val="71BF505A"/>
    <w:rsid w:val="72DE5660"/>
    <w:rsid w:val="733FB4AD"/>
    <w:rsid w:val="74E861CA"/>
    <w:rsid w:val="76BA9E6B"/>
    <w:rsid w:val="770A92BF"/>
    <w:rsid w:val="77AF92B9"/>
    <w:rsid w:val="794C558B"/>
    <w:rsid w:val="79DBE145"/>
    <w:rsid w:val="7A0B6431"/>
    <w:rsid w:val="7A119044"/>
    <w:rsid w:val="7C1CB34E"/>
    <w:rsid w:val="7D919787"/>
    <w:rsid w:val="7EB9B513"/>
    <w:rsid w:val="7ED79AD9"/>
    <w:rsid w:val="7FF5F5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B73D"/>
  <w15:docId w15:val="{241D0E8D-C233-CB46-BCDA-4DDCDDDA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286"/>
  </w:style>
  <w:style w:type="paragraph" w:styleId="Heading1">
    <w:name w:val="heading 1"/>
    <w:basedOn w:val="Normal"/>
    <w:next w:val="Normal"/>
    <w:link w:val="Heading1Char"/>
    <w:uiPriority w:val="9"/>
    <w:qFormat/>
    <w:rsid w:val="007626B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3">
    <w:name w:val="heading 3"/>
    <w:basedOn w:val="Normal"/>
    <w:next w:val="Normal"/>
    <w:link w:val="Heading3Char"/>
    <w:uiPriority w:val="9"/>
    <w:semiHidden/>
    <w:unhideWhenUsed/>
    <w:qFormat/>
    <w:rsid w:val="00882132"/>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842"/>
    <w:pPr>
      <w:ind w:left="720"/>
      <w:contextualSpacing/>
    </w:pPr>
  </w:style>
  <w:style w:type="character" w:styleId="Hyperlink">
    <w:name w:val="Hyperlink"/>
    <w:basedOn w:val="DefaultParagraphFont"/>
    <w:uiPriority w:val="99"/>
    <w:unhideWhenUsed/>
    <w:rsid w:val="00C27C23"/>
    <w:rPr>
      <w:color w:val="0563C1" w:themeColor="hyperlink"/>
      <w:u w:val="single"/>
    </w:rPr>
  </w:style>
  <w:style w:type="paragraph" w:styleId="Header">
    <w:name w:val="header"/>
    <w:basedOn w:val="Normal"/>
    <w:link w:val="HeaderChar"/>
    <w:uiPriority w:val="99"/>
    <w:unhideWhenUsed/>
    <w:rsid w:val="00C27C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C27C23"/>
  </w:style>
  <w:style w:type="paragraph" w:styleId="Footer">
    <w:name w:val="footer"/>
    <w:basedOn w:val="Normal"/>
    <w:link w:val="FooterChar"/>
    <w:uiPriority w:val="99"/>
    <w:unhideWhenUsed/>
    <w:rsid w:val="00C27C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27C23"/>
  </w:style>
  <w:style w:type="character" w:styleId="FollowedHyperlink">
    <w:name w:val="FollowedHyperlink"/>
    <w:basedOn w:val="DefaultParagraphFont"/>
    <w:uiPriority w:val="99"/>
    <w:semiHidden/>
    <w:unhideWhenUsed/>
    <w:rsid w:val="0059013F"/>
    <w:rPr>
      <w:color w:val="954F72" w:themeColor="followedHyperlink"/>
      <w:u w:val="single"/>
    </w:rPr>
  </w:style>
  <w:style w:type="character" w:customStyle="1" w:styleId="UnresolvedMention1">
    <w:name w:val="Unresolved Mention1"/>
    <w:basedOn w:val="DefaultParagraphFont"/>
    <w:uiPriority w:val="99"/>
    <w:semiHidden/>
    <w:unhideWhenUsed/>
    <w:rsid w:val="00851F59"/>
    <w:rPr>
      <w:color w:val="605E5C"/>
      <w:shd w:val="clear" w:color="auto" w:fill="E1DFDD"/>
    </w:rPr>
  </w:style>
  <w:style w:type="character" w:customStyle="1" w:styleId="UnresolvedMention2">
    <w:name w:val="Unresolved Mention2"/>
    <w:basedOn w:val="DefaultParagraphFont"/>
    <w:uiPriority w:val="99"/>
    <w:semiHidden/>
    <w:unhideWhenUsed/>
    <w:rsid w:val="00583CF0"/>
    <w:rPr>
      <w:color w:val="605E5C"/>
      <w:shd w:val="clear" w:color="auto" w:fill="E1DFDD"/>
    </w:rPr>
  </w:style>
  <w:style w:type="paragraph" w:styleId="FootnoteText">
    <w:name w:val="footnote text"/>
    <w:basedOn w:val="Normal"/>
    <w:link w:val="FootnoteTextChar"/>
    <w:uiPriority w:val="99"/>
    <w:semiHidden/>
    <w:unhideWhenUsed/>
    <w:rsid w:val="006D36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3670"/>
    <w:rPr>
      <w:sz w:val="20"/>
      <w:szCs w:val="20"/>
    </w:rPr>
  </w:style>
  <w:style w:type="character" w:styleId="FootnoteReference">
    <w:name w:val="footnote reference"/>
    <w:basedOn w:val="DefaultParagraphFont"/>
    <w:uiPriority w:val="99"/>
    <w:semiHidden/>
    <w:unhideWhenUsed/>
    <w:rsid w:val="006D3670"/>
    <w:rPr>
      <w:vertAlign w:val="superscript"/>
    </w:rPr>
  </w:style>
  <w:style w:type="character" w:styleId="PageNumber">
    <w:name w:val="page number"/>
    <w:basedOn w:val="DefaultParagraphFont"/>
    <w:uiPriority w:val="99"/>
    <w:semiHidden/>
    <w:unhideWhenUsed/>
    <w:rsid w:val="00B2057F"/>
  </w:style>
  <w:style w:type="paragraph" w:styleId="EndnoteText">
    <w:name w:val="endnote text"/>
    <w:basedOn w:val="Normal"/>
    <w:link w:val="EndnoteTextChar"/>
    <w:uiPriority w:val="99"/>
    <w:semiHidden/>
    <w:unhideWhenUsed/>
    <w:rsid w:val="00FE62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62FE"/>
    <w:rPr>
      <w:sz w:val="20"/>
      <w:szCs w:val="20"/>
    </w:rPr>
  </w:style>
  <w:style w:type="character" w:styleId="EndnoteReference">
    <w:name w:val="endnote reference"/>
    <w:basedOn w:val="DefaultParagraphFont"/>
    <w:uiPriority w:val="99"/>
    <w:semiHidden/>
    <w:unhideWhenUsed/>
    <w:rsid w:val="00FE62FE"/>
    <w:rPr>
      <w:vertAlign w:val="superscript"/>
    </w:rPr>
  </w:style>
  <w:style w:type="paragraph" w:styleId="Caption">
    <w:name w:val="caption"/>
    <w:basedOn w:val="Normal"/>
    <w:next w:val="Normal"/>
    <w:uiPriority w:val="35"/>
    <w:unhideWhenUsed/>
    <w:qFormat/>
    <w:rsid w:val="00945DA5"/>
    <w:pPr>
      <w:spacing w:after="200" w:line="240" w:lineRule="auto"/>
    </w:pPr>
    <w:rPr>
      <w:i/>
      <w:iCs/>
      <w:color w:val="44546A" w:themeColor="text2"/>
      <w:sz w:val="18"/>
      <w:szCs w:val="18"/>
    </w:rPr>
  </w:style>
  <w:style w:type="table" w:styleId="TableGrid">
    <w:name w:val="Table Grid"/>
    <w:basedOn w:val="TableNormal"/>
    <w:uiPriority w:val="39"/>
    <w:rsid w:val="004F2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626BA"/>
    <w:rPr>
      <w:rFonts w:asciiTheme="majorHAnsi" w:eastAsiaTheme="majorEastAsia" w:hAnsiTheme="majorHAnsi" w:cstheme="majorBidi"/>
      <w:color w:val="2E74B5" w:themeColor="accent1" w:themeShade="BF"/>
      <w:sz w:val="40"/>
      <w:szCs w:val="40"/>
    </w:rPr>
  </w:style>
  <w:style w:type="paragraph" w:customStyle="1" w:styleId="p1">
    <w:name w:val="p1"/>
    <w:basedOn w:val="Normal"/>
    <w:rsid w:val="00A56AB8"/>
    <w:pPr>
      <w:spacing w:after="0" w:line="240" w:lineRule="auto"/>
    </w:pPr>
    <w:rPr>
      <w:rFonts w:ascii=".AppleSystemUIFont" w:eastAsiaTheme="minorEastAsia" w:hAnsi=".AppleSystemUIFont" w:cs="Times New Roman"/>
      <w:sz w:val="28"/>
      <w:szCs w:val="28"/>
      <w:lang w:val="en-US" w:eastAsia="en-GB"/>
    </w:rPr>
  </w:style>
  <w:style w:type="character" w:customStyle="1" w:styleId="s1">
    <w:name w:val="s1"/>
    <w:basedOn w:val="DefaultParagraphFont"/>
    <w:rsid w:val="00A56AB8"/>
    <w:rPr>
      <w:rFonts w:ascii="UICTFontTextStyleBody" w:hAnsi="UICTFontTextStyleBody" w:hint="default"/>
      <w:b w:val="0"/>
      <w:bCs w:val="0"/>
      <w:i w:val="0"/>
      <w:iCs w:val="0"/>
      <w:sz w:val="28"/>
      <w:szCs w:val="28"/>
    </w:rPr>
  </w:style>
  <w:style w:type="paragraph" w:styleId="TOCHeading">
    <w:name w:val="TOC Heading"/>
    <w:basedOn w:val="Heading1"/>
    <w:next w:val="Normal"/>
    <w:uiPriority w:val="39"/>
    <w:unhideWhenUsed/>
    <w:qFormat/>
    <w:rsid w:val="00695751"/>
    <w:pPr>
      <w:spacing w:before="480" w:after="0" w:line="276" w:lineRule="auto"/>
      <w:outlineLvl w:val="9"/>
    </w:pPr>
    <w:rPr>
      <w:b/>
      <w:bCs/>
      <w:sz w:val="28"/>
      <w:szCs w:val="28"/>
      <w:lang w:val="en-US"/>
    </w:rPr>
  </w:style>
  <w:style w:type="paragraph" w:styleId="NormalWeb">
    <w:name w:val="Normal (Web)"/>
    <w:basedOn w:val="Normal"/>
    <w:uiPriority w:val="99"/>
    <w:unhideWhenUsed/>
    <w:rsid w:val="00416243"/>
    <w:pPr>
      <w:spacing w:before="100" w:beforeAutospacing="1" w:after="100" w:afterAutospacing="1" w:line="240" w:lineRule="auto"/>
    </w:pPr>
    <w:rPr>
      <w:rFonts w:ascii="Times New Roman" w:eastAsiaTheme="minorEastAsia" w:hAnsi="Times New Roman" w:cs="Times New Roman"/>
      <w:sz w:val="24"/>
      <w:szCs w:val="24"/>
      <w:lang w:val="en-US" w:eastAsia="en-GB"/>
    </w:rPr>
  </w:style>
  <w:style w:type="character" w:customStyle="1" w:styleId="s4">
    <w:name w:val="s4"/>
    <w:basedOn w:val="DefaultParagraphFont"/>
    <w:rsid w:val="00416243"/>
  </w:style>
  <w:style w:type="character" w:customStyle="1" w:styleId="apple-converted-space">
    <w:name w:val="apple-converted-space"/>
    <w:basedOn w:val="DefaultParagraphFont"/>
    <w:rsid w:val="00416243"/>
  </w:style>
  <w:style w:type="character" w:customStyle="1" w:styleId="s6">
    <w:name w:val="s6"/>
    <w:basedOn w:val="DefaultParagraphFont"/>
    <w:rsid w:val="00416243"/>
  </w:style>
  <w:style w:type="character" w:customStyle="1" w:styleId="s7">
    <w:name w:val="s7"/>
    <w:basedOn w:val="DefaultParagraphFont"/>
    <w:rsid w:val="00416243"/>
  </w:style>
  <w:style w:type="character" w:customStyle="1" w:styleId="s8">
    <w:name w:val="s8"/>
    <w:basedOn w:val="DefaultParagraphFont"/>
    <w:rsid w:val="00416243"/>
  </w:style>
  <w:style w:type="paragraph" w:customStyle="1" w:styleId="p2">
    <w:name w:val="p2"/>
    <w:basedOn w:val="Normal"/>
    <w:rsid w:val="00416243"/>
    <w:pPr>
      <w:spacing w:after="0" w:line="240" w:lineRule="auto"/>
    </w:pPr>
    <w:rPr>
      <w:rFonts w:ascii=".AppleSystemUIFont" w:eastAsiaTheme="minorEastAsia" w:hAnsi=".AppleSystemUIFont" w:cs="Times New Roman"/>
      <w:sz w:val="28"/>
      <w:szCs w:val="28"/>
      <w:lang w:val="en-US" w:eastAsia="en-GB"/>
    </w:rPr>
  </w:style>
  <w:style w:type="character" w:customStyle="1" w:styleId="s2">
    <w:name w:val="s2"/>
    <w:basedOn w:val="DefaultParagraphFont"/>
    <w:rsid w:val="00416243"/>
    <w:rPr>
      <w:rFonts w:ascii="UICTFontTextStyleEmphasizedBody" w:hAnsi="UICTFontTextStyleEmphasizedBody" w:hint="default"/>
      <w:b/>
      <w:bCs/>
      <w:i w:val="0"/>
      <w:iCs w:val="0"/>
      <w:sz w:val="28"/>
      <w:szCs w:val="28"/>
    </w:rPr>
  </w:style>
  <w:style w:type="character" w:customStyle="1" w:styleId="Heading3Char">
    <w:name w:val="Heading 3 Char"/>
    <w:basedOn w:val="DefaultParagraphFont"/>
    <w:link w:val="Heading3"/>
    <w:uiPriority w:val="9"/>
    <w:semiHidden/>
    <w:rsid w:val="00882132"/>
    <w:rPr>
      <w:rFonts w:eastAsiaTheme="majorEastAsia" w:cstheme="majorBidi"/>
      <w:color w:val="2E74B5" w:themeColor="accent1" w:themeShade="BF"/>
      <w:sz w:val="28"/>
      <w:szCs w:val="28"/>
    </w:rPr>
  </w:style>
  <w:style w:type="table" w:customStyle="1" w:styleId="GridTable4-Accent11">
    <w:name w:val="Grid Table 4 - Accent 11"/>
    <w:basedOn w:val="TableNormal"/>
    <w:uiPriority w:val="49"/>
    <w:rsid w:val="00F85B4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022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7698">
      <w:bodyDiv w:val="1"/>
      <w:marLeft w:val="0"/>
      <w:marRight w:val="0"/>
      <w:marTop w:val="0"/>
      <w:marBottom w:val="0"/>
      <w:divBdr>
        <w:top w:val="none" w:sz="0" w:space="0" w:color="auto"/>
        <w:left w:val="none" w:sz="0" w:space="0" w:color="auto"/>
        <w:bottom w:val="none" w:sz="0" w:space="0" w:color="auto"/>
        <w:right w:val="none" w:sz="0" w:space="0" w:color="auto"/>
      </w:divBdr>
      <w:divsChild>
        <w:div w:id="384842940">
          <w:marLeft w:val="0"/>
          <w:marRight w:val="0"/>
          <w:marTop w:val="0"/>
          <w:marBottom w:val="0"/>
          <w:divBdr>
            <w:top w:val="none" w:sz="0" w:space="0" w:color="auto"/>
            <w:left w:val="none" w:sz="0" w:space="0" w:color="auto"/>
            <w:bottom w:val="none" w:sz="0" w:space="0" w:color="auto"/>
            <w:right w:val="none" w:sz="0" w:space="0" w:color="auto"/>
          </w:divBdr>
        </w:div>
      </w:divsChild>
    </w:div>
    <w:div w:id="50274823">
      <w:bodyDiv w:val="1"/>
      <w:marLeft w:val="0"/>
      <w:marRight w:val="0"/>
      <w:marTop w:val="0"/>
      <w:marBottom w:val="0"/>
      <w:divBdr>
        <w:top w:val="none" w:sz="0" w:space="0" w:color="auto"/>
        <w:left w:val="none" w:sz="0" w:space="0" w:color="auto"/>
        <w:bottom w:val="none" w:sz="0" w:space="0" w:color="auto"/>
        <w:right w:val="none" w:sz="0" w:space="0" w:color="auto"/>
      </w:divBdr>
      <w:divsChild>
        <w:div w:id="1810827008">
          <w:marLeft w:val="0"/>
          <w:marRight w:val="0"/>
          <w:marTop w:val="0"/>
          <w:marBottom w:val="0"/>
          <w:divBdr>
            <w:top w:val="none" w:sz="0" w:space="0" w:color="auto"/>
            <w:left w:val="none" w:sz="0" w:space="0" w:color="auto"/>
            <w:bottom w:val="none" w:sz="0" w:space="0" w:color="auto"/>
            <w:right w:val="none" w:sz="0" w:space="0" w:color="auto"/>
          </w:divBdr>
        </w:div>
      </w:divsChild>
    </w:div>
    <w:div w:id="67458861">
      <w:bodyDiv w:val="1"/>
      <w:marLeft w:val="0"/>
      <w:marRight w:val="0"/>
      <w:marTop w:val="0"/>
      <w:marBottom w:val="0"/>
      <w:divBdr>
        <w:top w:val="none" w:sz="0" w:space="0" w:color="auto"/>
        <w:left w:val="none" w:sz="0" w:space="0" w:color="auto"/>
        <w:bottom w:val="none" w:sz="0" w:space="0" w:color="auto"/>
        <w:right w:val="none" w:sz="0" w:space="0" w:color="auto"/>
      </w:divBdr>
    </w:div>
    <w:div w:id="72745719">
      <w:bodyDiv w:val="1"/>
      <w:marLeft w:val="0"/>
      <w:marRight w:val="0"/>
      <w:marTop w:val="0"/>
      <w:marBottom w:val="0"/>
      <w:divBdr>
        <w:top w:val="none" w:sz="0" w:space="0" w:color="auto"/>
        <w:left w:val="none" w:sz="0" w:space="0" w:color="auto"/>
        <w:bottom w:val="none" w:sz="0" w:space="0" w:color="auto"/>
        <w:right w:val="none" w:sz="0" w:space="0" w:color="auto"/>
      </w:divBdr>
    </w:div>
    <w:div w:id="84310170">
      <w:bodyDiv w:val="1"/>
      <w:marLeft w:val="0"/>
      <w:marRight w:val="0"/>
      <w:marTop w:val="0"/>
      <w:marBottom w:val="0"/>
      <w:divBdr>
        <w:top w:val="none" w:sz="0" w:space="0" w:color="auto"/>
        <w:left w:val="none" w:sz="0" w:space="0" w:color="auto"/>
        <w:bottom w:val="none" w:sz="0" w:space="0" w:color="auto"/>
        <w:right w:val="none" w:sz="0" w:space="0" w:color="auto"/>
      </w:divBdr>
    </w:div>
    <w:div w:id="103041560">
      <w:bodyDiv w:val="1"/>
      <w:marLeft w:val="0"/>
      <w:marRight w:val="0"/>
      <w:marTop w:val="0"/>
      <w:marBottom w:val="0"/>
      <w:divBdr>
        <w:top w:val="none" w:sz="0" w:space="0" w:color="auto"/>
        <w:left w:val="none" w:sz="0" w:space="0" w:color="auto"/>
        <w:bottom w:val="none" w:sz="0" w:space="0" w:color="auto"/>
        <w:right w:val="none" w:sz="0" w:space="0" w:color="auto"/>
      </w:divBdr>
    </w:div>
    <w:div w:id="106588239">
      <w:bodyDiv w:val="1"/>
      <w:marLeft w:val="0"/>
      <w:marRight w:val="0"/>
      <w:marTop w:val="0"/>
      <w:marBottom w:val="0"/>
      <w:divBdr>
        <w:top w:val="none" w:sz="0" w:space="0" w:color="auto"/>
        <w:left w:val="none" w:sz="0" w:space="0" w:color="auto"/>
        <w:bottom w:val="none" w:sz="0" w:space="0" w:color="auto"/>
        <w:right w:val="none" w:sz="0" w:space="0" w:color="auto"/>
      </w:divBdr>
    </w:div>
    <w:div w:id="107239845">
      <w:bodyDiv w:val="1"/>
      <w:marLeft w:val="0"/>
      <w:marRight w:val="0"/>
      <w:marTop w:val="0"/>
      <w:marBottom w:val="0"/>
      <w:divBdr>
        <w:top w:val="none" w:sz="0" w:space="0" w:color="auto"/>
        <w:left w:val="none" w:sz="0" w:space="0" w:color="auto"/>
        <w:bottom w:val="none" w:sz="0" w:space="0" w:color="auto"/>
        <w:right w:val="none" w:sz="0" w:space="0" w:color="auto"/>
      </w:divBdr>
    </w:div>
    <w:div w:id="122046523">
      <w:bodyDiv w:val="1"/>
      <w:marLeft w:val="0"/>
      <w:marRight w:val="0"/>
      <w:marTop w:val="0"/>
      <w:marBottom w:val="0"/>
      <w:divBdr>
        <w:top w:val="none" w:sz="0" w:space="0" w:color="auto"/>
        <w:left w:val="none" w:sz="0" w:space="0" w:color="auto"/>
        <w:bottom w:val="none" w:sz="0" w:space="0" w:color="auto"/>
        <w:right w:val="none" w:sz="0" w:space="0" w:color="auto"/>
      </w:divBdr>
    </w:div>
    <w:div w:id="133135825">
      <w:bodyDiv w:val="1"/>
      <w:marLeft w:val="0"/>
      <w:marRight w:val="0"/>
      <w:marTop w:val="0"/>
      <w:marBottom w:val="0"/>
      <w:divBdr>
        <w:top w:val="none" w:sz="0" w:space="0" w:color="auto"/>
        <w:left w:val="none" w:sz="0" w:space="0" w:color="auto"/>
        <w:bottom w:val="none" w:sz="0" w:space="0" w:color="auto"/>
        <w:right w:val="none" w:sz="0" w:space="0" w:color="auto"/>
      </w:divBdr>
    </w:div>
    <w:div w:id="146820176">
      <w:bodyDiv w:val="1"/>
      <w:marLeft w:val="0"/>
      <w:marRight w:val="0"/>
      <w:marTop w:val="0"/>
      <w:marBottom w:val="0"/>
      <w:divBdr>
        <w:top w:val="none" w:sz="0" w:space="0" w:color="auto"/>
        <w:left w:val="none" w:sz="0" w:space="0" w:color="auto"/>
        <w:bottom w:val="none" w:sz="0" w:space="0" w:color="auto"/>
        <w:right w:val="none" w:sz="0" w:space="0" w:color="auto"/>
      </w:divBdr>
    </w:div>
    <w:div w:id="223181029">
      <w:bodyDiv w:val="1"/>
      <w:marLeft w:val="0"/>
      <w:marRight w:val="0"/>
      <w:marTop w:val="0"/>
      <w:marBottom w:val="0"/>
      <w:divBdr>
        <w:top w:val="none" w:sz="0" w:space="0" w:color="auto"/>
        <w:left w:val="none" w:sz="0" w:space="0" w:color="auto"/>
        <w:bottom w:val="none" w:sz="0" w:space="0" w:color="auto"/>
        <w:right w:val="none" w:sz="0" w:space="0" w:color="auto"/>
      </w:divBdr>
    </w:div>
    <w:div w:id="258218258">
      <w:bodyDiv w:val="1"/>
      <w:marLeft w:val="0"/>
      <w:marRight w:val="0"/>
      <w:marTop w:val="0"/>
      <w:marBottom w:val="0"/>
      <w:divBdr>
        <w:top w:val="none" w:sz="0" w:space="0" w:color="auto"/>
        <w:left w:val="none" w:sz="0" w:space="0" w:color="auto"/>
        <w:bottom w:val="none" w:sz="0" w:space="0" w:color="auto"/>
        <w:right w:val="none" w:sz="0" w:space="0" w:color="auto"/>
      </w:divBdr>
    </w:div>
    <w:div w:id="284391698">
      <w:bodyDiv w:val="1"/>
      <w:marLeft w:val="0"/>
      <w:marRight w:val="0"/>
      <w:marTop w:val="0"/>
      <w:marBottom w:val="0"/>
      <w:divBdr>
        <w:top w:val="none" w:sz="0" w:space="0" w:color="auto"/>
        <w:left w:val="none" w:sz="0" w:space="0" w:color="auto"/>
        <w:bottom w:val="none" w:sz="0" w:space="0" w:color="auto"/>
        <w:right w:val="none" w:sz="0" w:space="0" w:color="auto"/>
      </w:divBdr>
    </w:div>
    <w:div w:id="317392566">
      <w:bodyDiv w:val="1"/>
      <w:marLeft w:val="0"/>
      <w:marRight w:val="0"/>
      <w:marTop w:val="0"/>
      <w:marBottom w:val="0"/>
      <w:divBdr>
        <w:top w:val="none" w:sz="0" w:space="0" w:color="auto"/>
        <w:left w:val="none" w:sz="0" w:space="0" w:color="auto"/>
        <w:bottom w:val="none" w:sz="0" w:space="0" w:color="auto"/>
        <w:right w:val="none" w:sz="0" w:space="0" w:color="auto"/>
      </w:divBdr>
    </w:div>
    <w:div w:id="322510967">
      <w:bodyDiv w:val="1"/>
      <w:marLeft w:val="0"/>
      <w:marRight w:val="0"/>
      <w:marTop w:val="0"/>
      <w:marBottom w:val="0"/>
      <w:divBdr>
        <w:top w:val="none" w:sz="0" w:space="0" w:color="auto"/>
        <w:left w:val="none" w:sz="0" w:space="0" w:color="auto"/>
        <w:bottom w:val="none" w:sz="0" w:space="0" w:color="auto"/>
        <w:right w:val="none" w:sz="0" w:space="0" w:color="auto"/>
      </w:divBdr>
    </w:div>
    <w:div w:id="329211023">
      <w:bodyDiv w:val="1"/>
      <w:marLeft w:val="0"/>
      <w:marRight w:val="0"/>
      <w:marTop w:val="0"/>
      <w:marBottom w:val="0"/>
      <w:divBdr>
        <w:top w:val="none" w:sz="0" w:space="0" w:color="auto"/>
        <w:left w:val="none" w:sz="0" w:space="0" w:color="auto"/>
        <w:bottom w:val="none" w:sz="0" w:space="0" w:color="auto"/>
        <w:right w:val="none" w:sz="0" w:space="0" w:color="auto"/>
      </w:divBdr>
    </w:div>
    <w:div w:id="335572111">
      <w:bodyDiv w:val="1"/>
      <w:marLeft w:val="0"/>
      <w:marRight w:val="0"/>
      <w:marTop w:val="0"/>
      <w:marBottom w:val="0"/>
      <w:divBdr>
        <w:top w:val="none" w:sz="0" w:space="0" w:color="auto"/>
        <w:left w:val="none" w:sz="0" w:space="0" w:color="auto"/>
        <w:bottom w:val="none" w:sz="0" w:space="0" w:color="auto"/>
        <w:right w:val="none" w:sz="0" w:space="0" w:color="auto"/>
      </w:divBdr>
    </w:div>
    <w:div w:id="343094528">
      <w:bodyDiv w:val="1"/>
      <w:marLeft w:val="0"/>
      <w:marRight w:val="0"/>
      <w:marTop w:val="0"/>
      <w:marBottom w:val="0"/>
      <w:divBdr>
        <w:top w:val="none" w:sz="0" w:space="0" w:color="auto"/>
        <w:left w:val="none" w:sz="0" w:space="0" w:color="auto"/>
        <w:bottom w:val="none" w:sz="0" w:space="0" w:color="auto"/>
        <w:right w:val="none" w:sz="0" w:space="0" w:color="auto"/>
      </w:divBdr>
    </w:div>
    <w:div w:id="357239996">
      <w:bodyDiv w:val="1"/>
      <w:marLeft w:val="0"/>
      <w:marRight w:val="0"/>
      <w:marTop w:val="0"/>
      <w:marBottom w:val="0"/>
      <w:divBdr>
        <w:top w:val="none" w:sz="0" w:space="0" w:color="auto"/>
        <w:left w:val="none" w:sz="0" w:space="0" w:color="auto"/>
        <w:bottom w:val="none" w:sz="0" w:space="0" w:color="auto"/>
        <w:right w:val="none" w:sz="0" w:space="0" w:color="auto"/>
      </w:divBdr>
    </w:div>
    <w:div w:id="361441776">
      <w:bodyDiv w:val="1"/>
      <w:marLeft w:val="0"/>
      <w:marRight w:val="0"/>
      <w:marTop w:val="0"/>
      <w:marBottom w:val="0"/>
      <w:divBdr>
        <w:top w:val="none" w:sz="0" w:space="0" w:color="auto"/>
        <w:left w:val="none" w:sz="0" w:space="0" w:color="auto"/>
        <w:bottom w:val="none" w:sz="0" w:space="0" w:color="auto"/>
        <w:right w:val="none" w:sz="0" w:space="0" w:color="auto"/>
      </w:divBdr>
      <w:divsChild>
        <w:div w:id="474373954">
          <w:marLeft w:val="-720"/>
          <w:marRight w:val="0"/>
          <w:marTop w:val="0"/>
          <w:marBottom w:val="0"/>
          <w:divBdr>
            <w:top w:val="none" w:sz="0" w:space="0" w:color="auto"/>
            <w:left w:val="none" w:sz="0" w:space="0" w:color="auto"/>
            <w:bottom w:val="none" w:sz="0" w:space="0" w:color="auto"/>
            <w:right w:val="none" w:sz="0" w:space="0" w:color="auto"/>
          </w:divBdr>
        </w:div>
      </w:divsChild>
    </w:div>
    <w:div w:id="370686434">
      <w:bodyDiv w:val="1"/>
      <w:marLeft w:val="0"/>
      <w:marRight w:val="0"/>
      <w:marTop w:val="0"/>
      <w:marBottom w:val="0"/>
      <w:divBdr>
        <w:top w:val="none" w:sz="0" w:space="0" w:color="auto"/>
        <w:left w:val="none" w:sz="0" w:space="0" w:color="auto"/>
        <w:bottom w:val="none" w:sz="0" w:space="0" w:color="auto"/>
        <w:right w:val="none" w:sz="0" w:space="0" w:color="auto"/>
      </w:divBdr>
    </w:div>
    <w:div w:id="378432845">
      <w:bodyDiv w:val="1"/>
      <w:marLeft w:val="0"/>
      <w:marRight w:val="0"/>
      <w:marTop w:val="0"/>
      <w:marBottom w:val="0"/>
      <w:divBdr>
        <w:top w:val="none" w:sz="0" w:space="0" w:color="auto"/>
        <w:left w:val="none" w:sz="0" w:space="0" w:color="auto"/>
        <w:bottom w:val="none" w:sz="0" w:space="0" w:color="auto"/>
        <w:right w:val="none" w:sz="0" w:space="0" w:color="auto"/>
      </w:divBdr>
    </w:div>
    <w:div w:id="424352161">
      <w:bodyDiv w:val="1"/>
      <w:marLeft w:val="0"/>
      <w:marRight w:val="0"/>
      <w:marTop w:val="0"/>
      <w:marBottom w:val="0"/>
      <w:divBdr>
        <w:top w:val="none" w:sz="0" w:space="0" w:color="auto"/>
        <w:left w:val="none" w:sz="0" w:space="0" w:color="auto"/>
        <w:bottom w:val="none" w:sz="0" w:space="0" w:color="auto"/>
        <w:right w:val="none" w:sz="0" w:space="0" w:color="auto"/>
      </w:divBdr>
    </w:div>
    <w:div w:id="427580652">
      <w:bodyDiv w:val="1"/>
      <w:marLeft w:val="0"/>
      <w:marRight w:val="0"/>
      <w:marTop w:val="0"/>
      <w:marBottom w:val="0"/>
      <w:divBdr>
        <w:top w:val="none" w:sz="0" w:space="0" w:color="auto"/>
        <w:left w:val="none" w:sz="0" w:space="0" w:color="auto"/>
        <w:bottom w:val="none" w:sz="0" w:space="0" w:color="auto"/>
        <w:right w:val="none" w:sz="0" w:space="0" w:color="auto"/>
      </w:divBdr>
    </w:div>
    <w:div w:id="452097860">
      <w:bodyDiv w:val="1"/>
      <w:marLeft w:val="0"/>
      <w:marRight w:val="0"/>
      <w:marTop w:val="0"/>
      <w:marBottom w:val="0"/>
      <w:divBdr>
        <w:top w:val="none" w:sz="0" w:space="0" w:color="auto"/>
        <w:left w:val="none" w:sz="0" w:space="0" w:color="auto"/>
        <w:bottom w:val="none" w:sz="0" w:space="0" w:color="auto"/>
        <w:right w:val="none" w:sz="0" w:space="0" w:color="auto"/>
      </w:divBdr>
    </w:div>
    <w:div w:id="458766310">
      <w:bodyDiv w:val="1"/>
      <w:marLeft w:val="0"/>
      <w:marRight w:val="0"/>
      <w:marTop w:val="0"/>
      <w:marBottom w:val="0"/>
      <w:divBdr>
        <w:top w:val="none" w:sz="0" w:space="0" w:color="auto"/>
        <w:left w:val="none" w:sz="0" w:space="0" w:color="auto"/>
        <w:bottom w:val="none" w:sz="0" w:space="0" w:color="auto"/>
        <w:right w:val="none" w:sz="0" w:space="0" w:color="auto"/>
      </w:divBdr>
    </w:div>
    <w:div w:id="474418949">
      <w:bodyDiv w:val="1"/>
      <w:marLeft w:val="0"/>
      <w:marRight w:val="0"/>
      <w:marTop w:val="0"/>
      <w:marBottom w:val="0"/>
      <w:divBdr>
        <w:top w:val="none" w:sz="0" w:space="0" w:color="auto"/>
        <w:left w:val="none" w:sz="0" w:space="0" w:color="auto"/>
        <w:bottom w:val="none" w:sz="0" w:space="0" w:color="auto"/>
        <w:right w:val="none" w:sz="0" w:space="0" w:color="auto"/>
      </w:divBdr>
    </w:div>
    <w:div w:id="502209061">
      <w:bodyDiv w:val="1"/>
      <w:marLeft w:val="0"/>
      <w:marRight w:val="0"/>
      <w:marTop w:val="0"/>
      <w:marBottom w:val="0"/>
      <w:divBdr>
        <w:top w:val="none" w:sz="0" w:space="0" w:color="auto"/>
        <w:left w:val="none" w:sz="0" w:space="0" w:color="auto"/>
        <w:bottom w:val="none" w:sz="0" w:space="0" w:color="auto"/>
        <w:right w:val="none" w:sz="0" w:space="0" w:color="auto"/>
      </w:divBdr>
    </w:div>
    <w:div w:id="564337345">
      <w:bodyDiv w:val="1"/>
      <w:marLeft w:val="0"/>
      <w:marRight w:val="0"/>
      <w:marTop w:val="0"/>
      <w:marBottom w:val="0"/>
      <w:divBdr>
        <w:top w:val="none" w:sz="0" w:space="0" w:color="auto"/>
        <w:left w:val="none" w:sz="0" w:space="0" w:color="auto"/>
        <w:bottom w:val="none" w:sz="0" w:space="0" w:color="auto"/>
        <w:right w:val="none" w:sz="0" w:space="0" w:color="auto"/>
      </w:divBdr>
    </w:div>
    <w:div w:id="577909227">
      <w:bodyDiv w:val="1"/>
      <w:marLeft w:val="0"/>
      <w:marRight w:val="0"/>
      <w:marTop w:val="0"/>
      <w:marBottom w:val="0"/>
      <w:divBdr>
        <w:top w:val="none" w:sz="0" w:space="0" w:color="auto"/>
        <w:left w:val="none" w:sz="0" w:space="0" w:color="auto"/>
        <w:bottom w:val="none" w:sz="0" w:space="0" w:color="auto"/>
        <w:right w:val="none" w:sz="0" w:space="0" w:color="auto"/>
      </w:divBdr>
    </w:div>
    <w:div w:id="591548719">
      <w:bodyDiv w:val="1"/>
      <w:marLeft w:val="0"/>
      <w:marRight w:val="0"/>
      <w:marTop w:val="0"/>
      <w:marBottom w:val="0"/>
      <w:divBdr>
        <w:top w:val="none" w:sz="0" w:space="0" w:color="auto"/>
        <w:left w:val="none" w:sz="0" w:space="0" w:color="auto"/>
        <w:bottom w:val="none" w:sz="0" w:space="0" w:color="auto"/>
        <w:right w:val="none" w:sz="0" w:space="0" w:color="auto"/>
      </w:divBdr>
    </w:div>
    <w:div w:id="591621316">
      <w:bodyDiv w:val="1"/>
      <w:marLeft w:val="0"/>
      <w:marRight w:val="0"/>
      <w:marTop w:val="0"/>
      <w:marBottom w:val="0"/>
      <w:divBdr>
        <w:top w:val="none" w:sz="0" w:space="0" w:color="auto"/>
        <w:left w:val="none" w:sz="0" w:space="0" w:color="auto"/>
        <w:bottom w:val="none" w:sz="0" w:space="0" w:color="auto"/>
        <w:right w:val="none" w:sz="0" w:space="0" w:color="auto"/>
      </w:divBdr>
    </w:div>
    <w:div w:id="620262794">
      <w:bodyDiv w:val="1"/>
      <w:marLeft w:val="0"/>
      <w:marRight w:val="0"/>
      <w:marTop w:val="0"/>
      <w:marBottom w:val="0"/>
      <w:divBdr>
        <w:top w:val="none" w:sz="0" w:space="0" w:color="auto"/>
        <w:left w:val="none" w:sz="0" w:space="0" w:color="auto"/>
        <w:bottom w:val="none" w:sz="0" w:space="0" w:color="auto"/>
        <w:right w:val="none" w:sz="0" w:space="0" w:color="auto"/>
      </w:divBdr>
    </w:div>
    <w:div w:id="647902173">
      <w:bodyDiv w:val="1"/>
      <w:marLeft w:val="0"/>
      <w:marRight w:val="0"/>
      <w:marTop w:val="0"/>
      <w:marBottom w:val="0"/>
      <w:divBdr>
        <w:top w:val="none" w:sz="0" w:space="0" w:color="auto"/>
        <w:left w:val="none" w:sz="0" w:space="0" w:color="auto"/>
        <w:bottom w:val="none" w:sz="0" w:space="0" w:color="auto"/>
        <w:right w:val="none" w:sz="0" w:space="0" w:color="auto"/>
      </w:divBdr>
    </w:div>
    <w:div w:id="648093894">
      <w:bodyDiv w:val="1"/>
      <w:marLeft w:val="0"/>
      <w:marRight w:val="0"/>
      <w:marTop w:val="0"/>
      <w:marBottom w:val="0"/>
      <w:divBdr>
        <w:top w:val="none" w:sz="0" w:space="0" w:color="auto"/>
        <w:left w:val="none" w:sz="0" w:space="0" w:color="auto"/>
        <w:bottom w:val="none" w:sz="0" w:space="0" w:color="auto"/>
        <w:right w:val="none" w:sz="0" w:space="0" w:color="auto"/>
      </w:divBdr>
    </w:div>
    <w:div w:id="683632119">
      <w:bodyDiv w:val="1"/>
      <w:marLeft w:val="0"/>
      <w:marRight w:val="0"/>
      <w:marTop w:val="0"/>
      <w:marBottom w:val="0"/>
      <w:divBdr>
        <w:top w:val="none" w:sz="0" w:space="0" w:color="auto"/>
        <w:left w:val="none" w:sz="0" w:space="0" w:color="auto"/>
        <w:bottom w:val="none" w:sz="0" w:space="0" w:color="auto"/>
        <w:right w:val="none" w:sz="0" w:space="0" w:color="auto"/>
      </w:divBdr>
    </w:div>
    <w:div w:id="757405240">
      <w:bodyDiv w:val="1"/>
      <w:marLeft w:val="0"/>
      <w:marRight w:val="0"/>
      <w:marTop w:val="0"/>
      <w:marBottom w:val="0"/>
      <w:divBdr>
        <w:top w:val="none" w:sz="0" w:space="0" w:color="auto"/>
        <w:left w:val="none" w:sz="0" w:space="0" w:color="auto"/>
        <w:bottom w:val="none" w:sz="0" w:space="0" w:color="auto"/>
        <w:right w:val="none" w:sz="0" w:space="0" w:color="auto"/>
      </w:divBdr>
    </w:div>
    <w:div w:id="773479864">
      <w:bodyDiv w:val="1"/>
      <w:marLeft w:val="0"/>
      <w:marRight w:val="0"/>
      <w:marTop w:val="0"/>
      <w:marBottom w:val="0"/>
      <w:divBdr>
        <w:top w:val="none" w:sz="0" w:space="0" w:color="auto"/>
        <w:left w:val="none" w:sz="0" w:space="0" w:color="auto"/>
        <w:bottom w:val="none" w:sz="0" w:space="0" w:color="auto"/>
        <w:right w:val="none" w:sz="0" w:space="0" w:color="auto"/>
      </w:divBdr>
    </w:div>
    <w:div w:id="790904422">
      <w:bodyDiv w:val="1"/>
      <w:marLeft w:val="0"/>
      <w:marRight w:val="0"/>
      <w:marTop w:val="0"/>
      <w:marBottom w:val="0"/>
      <w:divBdr>
        <w:top w:val="none" w:sz="0" w:space="0" w:color="auto"/>
        <w:left w:val="none" w:sz="0" w:space="0" w:color="auto"/>
        <w:bottom w:val="none" w:sz="0" w:space="0" w:color="auto"/>
        <w:right w:val="none" w:sz="0" w:space="0" w:color="auto"/>
      </w:divBdr>
    </w:div>
    <w:div w:id="844516420">
      <w:bodyDiv w:val="1"/>
      <w:marLeft w:val="0"/>
      <w:marRight w:val="0"/>
      <w:marTop w:val="0"/>
      <w:marBottom w:val="0"/>
      <w:divBdr>
        <w:top w:val="none" w:sz="0" w:space="0" w:color="auto"/>
        <w:left w:val="none" w:sz="0" w:space="0" w:color="auto"/>
        <w:bottom w:val="none" w:sz="0" w:space="0" w:color="auto"/>
        <w:right w:val="none" w:sz="0" w:space="0" w:color="auto"/>
      </w:divBdr>
    </w:div>
    <w:div w:id="918055424">
      <w:bodyDiv w:val="1"/>
      <w:marLeft w:val="0"/>
      <w:marRight w:val="0"/>
      <w:marTop w:val="0"/>
      <w:marBottom w:val="0"/>
      <w:divBdr>
        <w:top w:val="none" w:sz="0" w:space="0" w:color="auto"/>
        <w:left w:val="none" w:sz="0" w:space="0" w:color="auto"/>
        <w:bottom w:val="none" w:sz="0" w:space="0" w:color="auto"/>
        <w:right w:val="none" w:sz="0" w:space="0" w:color="auto"/>
      </w:divBdr>
    </w:div>
    <w:div w:id="931822355">
      <w:bodyDiv w:val="1"/>
      <w:marLeft w:val="0"/>
      <w:marRight w:val="0"/>
      <w:marTop w:val="0"/>
      <w:marBottom w:val="0"/>
      <w:divBdr>
        <w:top w:val="none" w:sz="0" w:space="0" w:color="auto"/>
        <w:left w:val="none" w:sz="0" w:space="0" w:color="auto"/>
        <w:bottom w:val="none" w:sz="0" w:space="0" w:color="auto"/>
        <w:right w:val="none" w:sz="0" w:space="0" w:color="auto"/>
      </w:divBdr>
    </w:div>
    <w:div w:id="1016157202">
      <w:bodyDiv w:val="1"/>
      <w:marLeft w:val="0"/>
      <w:marRight w:val="0"/>
      <w:marTop w:val="0"/>
      <w:marBottom w:val="0"/>
      <w:divBdr>
        <w:top w:val="none" w:sz="0" w:space="0" w:color="auto"/>
        <w:left w:val="none" w:sz="0" w:space="0" w:color="auto"/>
        <w:bottom w:val="none" w:sz="0" w:space="0" w:color="auto"/>
        <w:right w:val="none" w:sz="0" w:space="0" w:color="auto"/>
      </w:divBdr>
    </w:div>
    <w:div w:id="1025984840">
      <w:bodyDiv w:val="1"/>
      <w:marLeft w:val="0"/>
      <w:marRight w:val="0"/>
      <w:marTop w:val="0"/>
      <w:marBottom w:val="0"/>
      <w:divBdr>
        <w:top w:val="none" w:sz="0" w:space="0" w:color="auto"/>
        <w:left w:val="none" w:sz="0" w:space="0" w:color="auto"/>
        <w:bottom w:val="none" w:sz="0" w:space="0" w:color="auto"/>
        <w:right w:val="none" w:sz="0" w:space="0" w:color="auto"/>
      </w:divBdr>
    </w:div>
    <w:div w:id="1029067256">
      <w:bodyDiv w:val="1"/>
      <w:marLeft w:val="0"/>
      <w:marRight w:val="0"/>
      <w:marTop w:val="0"/>
      <w:marBottom w:val="0"/>
      <w:divBdr>
        <w:top w:val="none" w:sz="0" w:space="0" w:color="auto"/>
        <w:left w:val="none" w:sz="0" w:space="0" w:color="auto"/>
        <w:bottom w:val="none" w:sz="0" w:space="0" w:color="auto"/>
        <w:right w:val="none" w:sz="0" w:space="0" w:color="auto"/>
      </w:divBdr>
    </w:div>
    <w:div w:id="1056658755">
      <w:bodyDiv w:val="1"/>
      <w:marLeft w:val="0"/>
      <w:marRight w:val="0"/>
      <w:marTop w:val="0"/>
      <w:marBottom w:val="0"/>
      <w:divBdr>
        <w:top w:val="none" w:sz="0" w:space="0" w:color="auto"/>
        <w:left w:val="none" w:sz="0" w:space="0" w:color="auto"/>
        <w:bottom w:val="none" w:sz="0" w:space="0" w:color="auto"/>
        <w:right w:val="none" w:sz="0" w:space="0" w:color="auto"/>
      </w:divBdr>
    </w:div>
    <w:div w:id="1056852927">
      <w:bodyDiv w:val="1"/>
      <w:marLeft w:val="0"/>
      <w:marRight w:val="0"/>
      <w:marTop w:val="0"/>
      <w:marBottom w:val="0"/>
      <w:divBdr>
        <w:top w:val="none" w:sz="0" w:space="0" w:color="auto"/>
        <w:left w:val="none" w:sz="0" w:space="0" w:color="auto"/>
        <w:bottom w:val="none" w:sz="0" w:space="0" w:color="auto"/>
        <w:right w:val="none" w:sz="0" w:space="0" w:color="auto"/>
      </w:divBdr>
    </w:div>
    <w:div w:id="1066689054">
      <w:bodyDiv w:val="1"/>
      <w:marLeft w:val="0"/>
      <w:marRight w:val="0"/>
      <w:marTop w:val="0"/>
      <w:marBottom w:val="0"/>
      <w:divBdr>
        <w:top w:val="none" w:sz="0" w:space="0" w:color="auto"/>
        <w:left w:val="none" w:sz="0" w:space="0" w:color="auto"/>
        <w:bottom w:val="none" w:sz="0" w:space="0" w:color="auto"/>
        <w:right w:val="none" w:sz="0" w:space="0" w:color="auto"/>
      </w:divBdr>
    </w:div>
    <w:div w:id="1082800407">
      <w:bodyDiv w:val="1"/>
      <w:marLeft w:val="0"/>
      <w:marRight w:val="0"/>
      <w:marTop w:val="0"/>
      <w:marBottom w:val="0"/>
      <w:divBdr>
        <w:top w:val="none" w:sz="0" w:space="0" w:color="auto"/>
        <w:left w:val="none" w:sz="0" w:space="0" w:color="auto"/>
        <w:bottom w:val="none" w:sz="0" w:space="0" w:color="auto"/>
        <w:right w:val="none" w:sz="0" w:space="0" w:color="auto"/>
      </w:divBdr>
    </w:div>
    <w:div w:id="1097869885">
      <w:bodyDiv w:val="1"/>
      <w:marLeft w:val="0"/>
      <w:marRight w:val="0"/>
      <w:marTop w:val="0"/>
      <w:marBottom w:val="0"/>
      <w:divBdr>
        <w:top w:val="none" w:sz="0" w:space="0" w:color="auto"/>
        <w:left w:val="none" w:sz="0" w:space="0" w:color="auto"/>
        <w:bottom w:val="none" w:sz="0" w:space="0" w:color="auto"/>
        <w:right w:val="none" w:sz="0" w:space="0" w:color="auto"/>
      </w:divBdr>
    </w:div>
    <w:div w:id="1124349847">
      <w:bodyDiv w:val="1"/>
      <w:marLeft w:val="0"/>
      <w:marRight w:val="0"/>
      <w:marTop w:val="0"/>
      <w:marBottom w:val="0"/>
      <w:divBdr>
        <w:top w:val="none" w:sz="0" w:space="0" w:color="auto"/>
        <w:left w:val="none" w:sz="0" w:space="0" w:color="auto"/>
        <w:bottom w:val="none" w:sz="0" w:space="0" w:color="auto"/>
        <w:right w:val="none" w:sz="0" w:space="0" w:color="auto"/>
      </w:divBdr>
    </w:div>
    <w:div w:id="1140807548">
      <w:bodyDiv w:val="1"/>
      <w:marLeft w:val="0"/>
      <w:marRight w:val="0"/>
      <w:marTop w:val="0"/>
      <w:marBottom w:val="0"/>
      <w:divBdr>
        <w:top w:val="none" w:sz="0" w:space="0" w:color="auto"/>
        <w:left w:val="none" w:sz="0" w:space="0" w:color="auto"/>
        <w:bottom w:val="none" w:sz="0" w:space="0" w:color="auto"/>
        <w:right w:val="none" w:sz="0" w:space="0" w:color="auto"/>
      </w:divBdr>
    </w:div>
    <w:div w:id="1141996905">
      <w:bodyDiv w:val="1"/>
      <w:marLeft w:val="0"/>
      <w:marRight w:val="0"/>
      <w:marTop w:val="0"/>
      <w:marBottom w:val="0"/>
      <w:divBdr>
        <w:top w:val="none" w:sz="0" w:space="0" w:color="auto"/>
        <w:left w:val="none" w:sz="0" w:space="0" w:color="auto"/>
        <w:bottom w:val="none" w:sz="0" w:space="0" w:color="auto"/>
        <w:right w:val="none" w:sz="0" w:space="0" w:color="auto"/>
      </w:divBdr>
    </w:div>
    <w:div w:id="1145320935">
      <w:bodyDiv w:val="1"/>
      <w:marLeft w:val="0"/>
      <w:marRight w:val="0"/>
      <w:marTop w:val="0"/>
      <w:marBottom w:val="0"/>
      <w:divBdr>
        <w:top w:val="none" w:sz="0" w:space="0" w:color="auto"/>
        <w:left w:val="none" w:sz="0" w:space="0" w:color="auto"/>
        <w:bottom w:val="none" w:sz="0" w:space="0" w:color="auto"/>
        <w:right w:val="none" w:sz="0" w:space="0" w:color="auto"/>
      </w:divBdr>
    </w:div>
    <w:div w:id="1155074434">
      <w:bodyDiv w:val="1"/>
      <w:marLeft w:val="0"/>
      <w:marRight w:val="0"/>
      <w:marTop w:val="0"/>
      <w:marBottom w:val="0"/>
      <w:divBdr>
        <w:top w:val="none" w:sz="0" w:space="0" w:color="auto"/>
        <w:left w:val="none" w:sz="0" w:space="0" w:color="auto"/>
        <w:bottom w:val="none" w:sz="0" w:space="0" w:color="auto"/>
        <w:right w:val="none" w:sz="0" w:space="0" w:color="auto"/>
      </w:divBdr>
      <w:divsChild>
        <w:div w:id="1138450578">
          <w:marLeft w:val="0"/>
          <w:marRight w:val="0"/>
          <w:marTop w:val="0"/>
          <w:marBottom w:val="0"/>
          <w:divBdr>
            <w:top w:val="none" w:sz="0" w:space="0" w:color="auto"/>
            <w:left w:val="none" w:sz="0" w:space="0" w:color="auto"/>
            <w:bottom w:val="none" w:sz="0" w:space="0" w:color="auto"/>
            <w:right w:val="none" w:sz="0" w:space="0" w:color="auto"/>
          </w:divBdr>
        </w:div>
      </w:divsChild>
    </w:div>
    <w:div w:id="1168402246">
      <w:bodyDiv w:val="1"/>
      <w:marLeft w:val="0"/>
      <w:marRight w:val="0"/>
      <w:marTop w:val="0"/>
      <w:marBottom w:val="0"/>
      <w:divBdr>
        <w:top w:val="none" w:sz="0" w:space="0" w:color="auto"/>
        <w:left w:val="none" w:sz="0" w:space="0" w:color="auto"/>
        <w:bottom w:val="none" w:sz="0" w:space="0" w:color="auto"/>
        <w:right w:val="none" w:sz="0" w:space="0" w:color="auto"/>
      </w:divBdr>
    </w:div>
    <w:div w:id="1185823315">
      <w:bodyDiv w:val="1"/>
      <w:marLeft w:val="0"/>
      <w:marRight w:val="0"/>
      <w:marTop w:val="0"/>
      <w:marBottom w:val="0"/>
      <w:divBdr>
        <w:top w:val="none" w:sz="0" w:space="0" w:color="auto"/>
        <w:left w:val="none" w:sz="0" w:space="0" w:color="auto"/>
        <w:bottom w:val="none" w:sz="0" w:space="0" w:color="auto"/>
        <w:right w:val="none" w:sz="0" w:space="0" w:color="auto"/>
      </w:divBdr>
    </w:div>
    <w:div w:id="1194617443">
      <w:bodyDiv w:val="1"/>
      <w:marLeft w:val="0"/>
      <w:marRight w:val="0"/>
      <w:marTop w:val="0"/>
      <w:marBottom w:val="0"/>
      <w:divBdr>
        <w:top w:val="none" w:sz="0" w:space="0" w:color="auto"/>
        <w:left w:val="none" w:sz="0" w:space="0" w:color="auto"/>
        <w:bottom w:val="none" w:sz="0" w:space="0" w:color="auto"/>
        <w:right w:val="none" w:sz="0" w:space="0" w:color="auto"/>
      </w:divBdr>
    </w:div>
    <w:div w:id="1224953493">
      <w:bodyDiv w:val="1"/>
      <w:marLeft w:val="0"/>
      <w:marRight w:val="0"/>
      <w:marTop w:val="0"/>
      <w:marBottom w:val="0"/>
      <w:divBdr>
        <w:top w:val="none" w:sz="0" w:space="0" w:color="auto"/>
        <w:left w:val="none" w:sz="0" w:space="0" w:color="auto"/>
        <w:bottom w:val="none" w:sz="0" w:space="0" w:color="auto"/>
        <w:right w:val="none" w:sz="0" w:space="0" w:color="auto"/>
      </w:divBdr>
    </w:div>
    <w:div w:id="1233007947">
      <w:bodyDiv w:val="1"/>
      <w:marLeft w:val="0"/>
      <w:marRight w:val="0"/>
      <w:marTop w:val="0"/>
      <w:marBottom w:val="0"/>
      <w:divBdr>
        <w:top w:val="none" w:sz="0" w:space="0" w:color="auto"/>
        <w:left w:val="none" w:sz="0" w:space="0" w:color="auto"/>
        <w:bottom w:val="none" w:sz="0" w:space="0" w:color="auto"/>
        <w:right w:val="none" w:sz="0" w:space="0" w:color="auto"/>
      </w:divBdr>
    </w:div>
    <w:div w:id="1241283515">
      <w:bodyDiv w:val="1"/>
      <w:marLeft w:val="0"/>
      <w:marRight w:val="0"/>
      <w:marTop w:val="0"/>
      <w:marBottom w:val="0"/>
      <w:divBdr>
        <w:top w:val="none" w:sz="0" w:space="0" w:color="auto"/>
        <w:left w:val="none" w:sz="0" w:space="0" w:color="auto"/>
        <w:bottom w:val="none" w:sz="0" w:space="0" w:color="auto"/>
        <w:right w:val="none" w:sz="0" w:space="0" w:color="auto"/>
      </w:divBdr>
    </w:div>
    <w:div w:id="1273127583">
      <w:bodyDiv w:val="1"/>
      <w:marLeft w:val="0"/>
      <w:marRight w:val="0"/>
      <w:marTop w:val="0"/>
      <w:marBottom w:val="0"/>
      <w:divBdr>
        <w:top w:val="none" w:sz="0" w:space="0" w:color="auto"/>
        <w:left w:val="none" w:sz="0" w:space="0" w:color="auto"/>
        <w:bottom w:val="none" w:sz="0" w:space="0" w:color="auto"/>
        <w:right w:val="none" w:sz="0" w:space="0" w:color="auto"/>
      </w:divBdr>
    </w:div>
    <w:div w:id="1273317231">
      <w:bodyDiv w:val="1"/>
      <w:marLeft w:val="0"/>
      <w:marRight w:val="0"/>
      <w:marTop w:val="0"/>
      <w:marBottom w:val="0"/>
      <w:divBdr>
        <w:top w:val="none" w:sz="0" w:space="0" w:color="auto"/>
        <w:left w:val="none" w:sz="0" w:space="0" w:color="auto"/>
        <w:bottom w:val="none" w:sz="0" w:space="0" w:color="auto"/>
        <w:right w:val="none" w:sz="0" w:space="0" w:color="auto"/>
      </w:divBdr>
    </w:div>
    <w:div w:id="1280335447">
      <w:bodyDiv w:val="1"/>
      <w:marLeft w:val="0"/>
      <w:marRight w:val="0"/>
      <w:marTop w:val="0"/>
      <w:marBottom w:val="0"/>
      <w:divBdr>
        <w:top w:val="none" w:sz="0" w:space="0" w:color="auto"/>
        <w:left w:val="none" w:sz="0" w:space="0" w:color="auto"/>
        <w:bottom w:val="none" w:sz="0" w:space="0" w:color="auto"/>
        <w:right w:val="none" w:sz="0" w:space="0" w:color="auto"/>
      </w:divBdr>
    </w:div>
    <w:div w:id="1286304679">
      <w:bodyDiv w:val="1"/>
      <w:marLeft w:val="0"/>
      <w:marRight w:val="0"/>
      <w:marTop w:val="0"/>
      <w:marBottom w:val="0"/>
      <w:divBdr>
        <w:top w:val="none" w:sz="0" w:space="0" w:color="auto"/>
        <w:left w:val="none" w:sz="0" w:space="0" w:color="auto"/>
        <w:bottom w:val="none" w:sz="0" w:space="0" w:color="auto"/>
        <w:right w:val="none" w:sz="0" w:space="0" w:color="auto"/>
      </w:divBdr>
    </w:div>
    <w:div w:id="1315375285">
      <w:bodyDiv w:val="1"/>
      <w:marLeft w:val="0"/>
      <w:marRight w:val="0"/>
      <w:marTop w:val="0"/>
      <w:marBottom w:val="0"/>
      <w:divBdr>
        <w:top w:val="none" w:sz="0" w:space="0" w:color="auto"/>
        <w:left w:val="none" w:sz="0" w:space="0" w:color="auto"/>
        <w:bottom w:val="none" w:sz="0" w:space="0" w:color="auto"/>
        <w:right w:val="none" w:sz="0" w:space="0" w:color="auto"/>
      </w:divBdr>
    </w:div>
    <w:div w:id="1321345810">
      <w:bodyDiv w:val="1"/>
      <w:marLeft w:val="0"/>
      <w:marRight w:val="0"/>
      <w:marTop w:val="0"/>
      <w:marBottom w:val="0"/>
      <w:divBdr>
        <w:top w:val="none" w:sz="0" w:space="0" w:color="auto"/>
        <w:left w:val="none" w:sz="0" w:space="0" w:color="auto"/>
        <w:bottom w:val="none" w:sz="0" w:space="0" w:color="auto"/>
        <w:right w:val="none" w:sz="0" w:space="0" w:color="auto"/>
      </w:divBdr>
    </w:div>
    <w:div w:id="1329212714">
      <w:bodyDiv w:val="1"/>
      <w:marLeft w:val="0"/>
      <w:marRight w:val="0"/>
      <w:marTop w:val="0"/>
      <w:marBottom w:val="0"/>
      <w:divBdr>
        <w:top w:val="none" w:sz="0" w:space="0" w:color="auto"/>
        <w:left w:val="none" w:sz="0" w:space="0" w:color="auto"/>
        <w:bottom w:val="none" w:sz="0" w:space="0" w:color="auto"/>
        <w:right w:val="none" w:sz="0" w:space="0" w:color="auto"/>
      </w:divBdr>
    </w:div>
    <w:div w:id="1357273738">
      <w:bodyDiv w:val="1"/>
      <w:marLeft w:val="0"/>
      <w:marRight w:val="0"/>
      <w:marTop w:val="0"/>
      <w:marBottom w:val="0"/>
      <w:divBdr>
        <w:top w:val="none" w:sz="0" w:space="0" w:color="auto"/>
        <w:left w:val="none" w:sz="0" w:space="0" w:color="auto"/>
        <w:bottom w:val="none" w:sz="0" w:space="0" w:color="auto"/>
        <w:right w:val="none" w:sz="0" w:space="0" w:color="auto"/>
      </w:divBdr>
    </w:div>
    <w:div w:id="1361054642">
      <w:bodyDiv w:val="1"/>
      <w:marLeft w:val="0"/>
      <w:marRight w:val="0"/>
      <w:marTop w:val="0"/>
      <w:marBottom w:val="0"/>
      <w:divBdr>
        <w:top w:val="none" w:sz="0" w:space="0" w:color="auto"/>
        <w:left w:val="none" w:sz="0" w:space="0" w:color="auto"/>
        <w:bottom w:val="none" w:sz="0" w:space="0" w:color="auto"/>
        <w:right w:val="none" w:sz="0" w:space="0" w:color="auto"/>
      </w:divBdr>
    </w:div>
    <w:div w:id="1367483504">
      <w:bodyDiv w:val="1"/>
      <w:marLeft w:val="0"/>
      <w:marRight w:val="0"/>
      <w:marTop w:val="0"/>
      <w:marBottom w:val="0"/>
      <w:divBdr>
        <w:top w:val="none" w:sz="0" w:space="0" w:color="auto"/>
        <w:left w:val="none" w:sz="0" w:space="0" w:color="auto"/>
        <w:bottom w:val="none" w:sz="0" w:space="0" w:color="auto"/>
        <w:right w:val="none" w:sz="0" w:space="0" w:color="auto"/>
      </w:divBdr>
    </w:div>
    <w:div w:id="1390609477">
      <w:bodyDiv w:val="1"/>
      <w:marLeft w:val="0"/>
      <w:marRight w:val="0"/>
      <w:marTop w:val="0"/>
      <w:marBottom w:val="0"/>
      <w:divBdr>
        <w:top w:val="none" w:sz="0" w:space="0" w:color="auto"/>
        <w:left w:val="none" w:sz="0" w:space="0" w:color="auto"/>
        <w:bottom w:val="none" w:sz="0" w:space="0" w:color="auto"/>
        <w:right w:val="none" w:sz="0" w:space="0" w:color="auto"/>
      </w:divBdr>
    </w:div>
    <w:div w:id="1433088290">
      <w:bodyDiv w:val="1"/>
      <w:marLeft w:val="0"/>
      <w:marRight w:val="0"/>
      <w:marTop w:val="0"/>
      <w:marBottom w:val="0"/>
      <w:divBdr>
        <w:top w:val="none" w:sz="0" w:space="0" w:color="auto"/>
        <w:left w:val="none" w:sz="0" w:space="0" w:color="auto"/>
        <w:bottom w:val="none" w:sz="0" w:space="0" w:color="auto"/>
        <w:right w:val="none" w:sz="0" w:space="0" w:color="auto"/>
      </w:divBdr>
    </w:div>
    <w:div w:id="1441798911">
      <w:bodyDiv w:val="1"/>
      <w:marLeft w:val="0"/>
      <w:marRight w:val="0"/>
      <w:marTop w:val="0"/>
      <w:marBottom w:val="0"/>
      <w:divBdr>
        <w:top w:val="none" w:sz="0" w:space="0" w:color="auto"/>
        <w:left w:val="none" w:sz="0" w:space="0" w:color="auto"/>
        <w:bottom w:val="none" w:sz="0" w:space="0" w:color="auto"/>
        <w:right w:val="none" w:sz="0" w:space="0" w:color="auto"/>
      </w:divBdr>
    </w:div>
    <w:div w:id="1493377575">
      <w:bodyDiv w:val="1"/>
      <w:marLeft w:val="0"/>
      <w:marRight w:val="0"/>
      <w:marTop w:val="0"/>
      <w:marBottom w:val="0"/>
      <w:divBdr>
        <w:top w:val="none" w:sz="0" w:space="0" w:color="auto"/>
        <w:left w:val="none" w:sz="0" w:space="0" w:color="auto"/>
        <w:bottom w:val="none" w:sz="0" w:space="0" w:color="auto"/>
        <w:right w:val="none" w:sz="0" w:space="0" w:color="auto"/>
      </w:divBdr>
    </w:div>
    <w:div w:id="1501000933">
      <w:bodyDiv w:val="1"/>
      <w:marLeft w:val="0"/>
      <w:marRight w:val="0"/>
      <w:marTop w:val="0"/>
      <w:marBottom w:val="0"/>
      <w:divBdr>
        <w:top w:val="none" w:sz="0" w:space="0" w:color="auto"/>
        <w:left w:val="none" w:sz="0" w:space="0" w:color="auto"/>
        <w:bottom w:val="none" w:sz="0" w:space="0" w:color="auto"/>
        <w:right w:val="none" w:sz="0" w:space="0" w:color="auto"/>
      </w:divBdr>
    </w:div>
    <w:div w:id="1510213765">
      <w:bodyDiv w:val="1"/>
      <w:marLeft w:val="0"/>
      <w:marRight w:val="0"/>
      <w:marTop w:val="0"/>
      <w:marBottom w:val="0"/>
      <w:divBdr>
        <w:top w:val="none" w:sz="0" w:space="0" w:color="auto"/>
        <w:left w:val="none" w:sz="0" w:space="0" w:color="auto"/>
        <w:bottom w:val="none" w:sz="0" w:space="0" w:color="auto"/>
        <w:right w:val="none" w:sz="0" w:space="0" w:color="auto"/>
      </w:divBdr>
    </w:div>
    <w:div w:id="1523933796">
      <w:bodyDiv w:val="1"/>
      <w:marLeft w:val="0"/>
      <w:marRight w:val="0"/>
      <w:marTop w:val="0"/>
      <w:marBottom w:val="0"/>
      <w:divBdr>
        <w:top w:val="none" w:sz="0" w:space="0" w:color="auto"/>
        <w:left w:val="none" w:sz="0" w:space="0" w:color="auto"/>
        <w:bottom w:val="none" w:sz="0" w:space="0" w:color="auto"/>
        <w:right w:val="none" w:sz="0" w:space="0" w:color="auto"/>
      </w:divBdr>
    </w:div>
    <w:div w:id="1546209902">
      <w:bodyDiv w:val="1"/>
      <w:marLeft w:val="0"/>
      <w:marRight w:val="0"/>
      <w:marTop w:val="0"/>
      <w:marBottom w:val="0"/>
      <w:divBdr>
        <w:top w:val="none" w:sz="0" w:space="0" w:color="auto"/>
        <w:left w:val="none" w:sz="0" w:space="0" w:color="auto"/>
        <w:bottom w:val="none" w:sz="0" w:space="0" w:color="auto"/>
        <w:right w:val="none" w:sz="0" w:space="0" w:color="auto"/>
      </w:divBdr>
    </w:div>
    <w:div w:id="1635942366">
      <w:bodyDiv w:val="1"/>
      <w:marLeft w:val="0"/>
      <w:marRight w:val="0"/>
      <w:marTop w:val="0"/>
      <w:marBottom w:val="0"/>
      <w:divBdr>
        <w:top w:val="none" w:sz="0" w:space="0" w:color="auto"/>
        <w:left w:val="none" w:sz="0" w:space="0" w:color="auto"/>
        <w:bottom w:val="none" w:sz="0" w:space="0" w:color="auto"/>
        <w:right w:val="none" w:sz="0" w:space="0" w:color="auto"/>
      </w:divBdr>
    </w:div>
    <w:div w:id="1643806029">
      <w:bodyDiv w:val="1"/>
      <w:marLeft w:val="0"/>
      <w:marRight w:val="0"/>
      <w:marTop w:val="0"/>
      <w:marBottom w:val="0"/>
      <w:divBdr>
        <w:top w:val="none" w:sz="0" w:space="0" w:color="auto"/>
        <w:left w:val="none" w:sz="0" w:space="0" w:color="auto"/>
        <w:bottom w:val="none" w:sz="0" w:space="0" w:color="auto"/>
        <w:right w:val="none" w:sz="0" w:space="0" w:color="auto"/>
      </w:divBdr>
    </w:div>
    <w:div w:id="1665087065">
      <w:bodyDiv w:val="1"/>
      <w:marLeft w:val="0"/>
      <w:marRight w:val="0"/>
      <w:marTop w:val="0"/>
      <w:marBottom w:val="0"/>
      <w:divBdr>
        <w:top w:val="none" w:sz="0" w:space="0" w:color="auto"/>
        <w:left w:val="none" w:sz="0" w:space="0" w:color="auto"/>
        <w:bottom w:val="none" w:sz="0" w:space="0" w:color="auto"/>
        <w:right w:val="none" w:sz="0" w:space="0" w:color="auto"/>
      </w:divBdr>
    </w:div>
    <w:div w:id="1674913437">
      <w:bodyDiv w:val="1"/>
      <w:marLeft w:val="0"/>
      <w:marRight w:val="0"/>
      <w:marTop w:val="0"/>
      <w:marBottom w:val="0"/>
      <w:divBdr>
        <w:top w:val="none" w:sz="0" w:space="0" w:color="auto"/>
        <w:left w:val="none" w:sz="0" w:space="0" w:color="auto"/>
        <w:bottom w:val="none" w:sz="0" w:space="0" w:color="auto"/>
        <w:right w:val="none" w:sz="0" w:space="0" w:color="auto"/>
      </w:divBdr>
    </w:div>
    <w:div w:id="1695881314">
      <w:bodyDiv w:val="1"/>
      <w:marLeft w:val="0"/>
      <w:marRight w:val="0"/>
      <w:marTop w:val="0"/>
      <w:marBottom w:val="0"/>
      <w:divBdr>
        <w:top w:val="none" w:sz="0" w:space="0" w:color="auto"/>
        <w:left w:val="none" w:sz="0" w:space="0" w:color="auto"/>
        <w:bottom w:val="none" w:sz="0" w:space="0" w:color="auto"/>
        <w:right w:val="none" w:sz="0" w:space="0" w:color="auto"/>
      </w:divBdr>
    </w:div>
    <w:div w:id="1707102382">
      <w:bodyDiv w:val="1"/>
      <w:marLeft w:val="0"/>
      <w:marRight w:val="0"/>
      <w:marTop w:val="0"/>
      <w:marBottom w:val="0"/>
      <w:divBdr>
        <w:top w:val="none" w:sz="0" w:space="0" w:color="auto"/>
        <w:left w:val="none" w:sz="0" w:space="0" w:color="auto"/>
        <w:bottom w:val="none" w:sz="0" w:space="0" w:color="auto"/>
        <w:right w:val="none" w:sz="0" w:space="0" w:color="auto"/>
      </w:divBdr>
    </w:div>
    <w:div w:id="1725834727">
      <w:bodyDiv w:val="1"/>
      <w:marLeft w:val="0"/>
      <w:marRight w:val="0"/>
      <w:marTop w:val="0"/>
      <w:marBottom w:val="0"/>
      <w:divBdr>
        <w:top w:val="none" w:sz="0" w:space="0" w:color="auto"/>
        <w:left w:val="none" w:sz="0" w:space="0" w:color="auto"/>
        <w:bottom w:val="none" w:sz="0" w:space="0" w:color="auto"/>
        <w:right w:val="none" w:sz="0" w:space="0" w:color="auto"/>
      </w:divBdr>
    </w:div>
    <w:div w:id="1735084036">
      <w:bodyDiv w:val="1"/>
      <w:marLeft w:val="0"/>
      <w:marRight w:val="0"/>
      <w:marTop w:val="0"/>
      <w:marBottom w:val="0"/>
      <w:divBdr>
        <w:top w:val="none" w:sz="0" w:space="0" w:color="auto"/>
        <w:left w:val="none" w:sz="0" w:space="0" w:color="auto"/>
        <w:bottom w:val="none" w:sz="0" w:space="0" w:color="auto"/>
        <w:right w:val="none" w:sz="0" w:space="0" w:color="auto"/>
      </w:divBdr>
    </w:div>
    <w:div w:id="1762946672">
      <w:bodyDiv w:val="1"/>
      <w:marLeft w:val="0"/>
      <w:marRight w:val="0"/>
      <w:marTop w:val="0"/>
      <w:marBottom w:val="0"/>
      <w:divBdr>
        <w:top w:val="none" w:sz="0" w:space="0" w:color="auto"/>
        <w:left w:val="none" w:sz="0" w:space="0" w:color="auto"/>
        <w:bottom w:val="none" w:sz="0" w:space="0" w:color="auto"/>
        <w:right w:val="none" w:sz="0" w:space="0" w:color="auto"/>
      </w:divBdr>
    </w:div>
    <w:div w:id="1772773750">
      <w:bodyDiv w:val="1"/>
      <w:marLeft w:val="0"/>
      <w:marRight w:val="0"/>
      <w:marTop w:val="0"/>
      <w:marBottom w:val="0"/>
      <w:divBdr>
        <w:top w:val="none" w:sz="0" w:space="0" w:color="auto"/>
        <w:left w:val="none" w:sz="0" w:space="0" w:color="auto"/>
        <w:bottom w:val="none" w:sz="0" w:space="0" w:color="auto"/>
        <w:right w:val="none" w:sz="0" w:space="0" w:color="auto"/>
      </w:divBdr>
    </w:div>
    <w:div w:id="1776753253">
      <w:bodyDiv w:val="1"/>
      <w:marLeft w:val="0"/>
      <w:marRight w:val="0"/>
      <w:marTop w:val="0"/>
      <w:marBottom w:val="0"/>
      <w:divBdr>
        <w:top w:val="none" w:sz="0" w:space="0" w:color="auto"/>
        <w:left w:val="none" w:sz="0" w:space="0" w:color="auto"/>
        <w:bottom w:val="none" w:sz="0" w:space="0" w:color="auto"/>
        <w:right w:val="none" w:sz="0" w:space="0" w:color="auto"/>
      </w:divBdr>
    </w:div>
    <w:div w:id="1777359055">
      <w:bodyDiv w:val="1"/>
      <w:marLeft w:val="0"/>
      <w:marRight w:val="0"/>
      <w:marTop w:val="0"/>
      <w:marBottom w:val="0"/>
      <w:divBdr>
        <w:top w:val="none" w:sz="0" w:space="0" w:color="auto"/>
        <w:left w:val="none" w:sz="0" w:space="0" w:color="auto"/>
        <w:bottom w:val="none" w:sz="0" w:space="0" w:color="auto"/>
        <w:right w:val="none" w:sz="0" w:space="0" w:color="auto"/>
      </w:divBdr>
    </w:div>
    <w:div w:id="1777482963">
      <w:bodyDiv w:val="1"/>
      <w:marLeft w:val="0"/>
      <w:marRight w:val="0"/>
      <w:marTop w:val="0"/>
      <w:marBottom w:val="0"/>
      <w:divBdr>
        <w:top w:val="none" w:sz="0" w:space="0" w:color="auto"/>
        <w:left w:val="none" w:sz="0" w:space="0" w:color="auto"/>
        <w:bottom w:val="none" w:sz="0" w:space="0" w:color="auto"/>
        <w:right w:val="none" w:sz="0" w:space="0" w:color="auto"/>
      </w:divBdr>
    </w:div>
    <w:div w:id="1848933860">
      <w:bodyDiv w:val="1"/>
      <w:marLeft w:val="0"/>
      <w:marRight w:val="0"/>
      <w:marTop w:val="0"/>
      <w:marBottom w:val="0"/>
      <w:divBdr>
        <w:top w:val="none" w:sz="0" w:space="0" w:color="auto"/>
        <w:left w:val="none" w:sz="0" w:space="0" w:color="auto"/>
        <w:bottom w:val="none" w:sz="0" w:space="0" w:color="auto"/>
        <w:right w:val="none" w:sz="0" w:space="0" w:color="auto"/>
      </w:divBdr>
    </w:div>
    <w:div w:id="1881354054">
      <w:bodyDiv w:val="1"/>
      <w:marLeft w:val="0"/>
      <w:marRight w:val="0"/>
      <w:marTop w:val="0"/>
      <w:marBottom w:val="0"/>
      <w:divBdr>
        <w:top w:val="none" w:sz="0" w:space="0" w:color="auto"/>
        <w:left w:val="none" w:sz="0" w:space="0" w:color="auto"/>
        <w:bottom w:val="none" w:sz="0" w:space="0" w:color="auto"/>
        <w:right w:val="none" w:sz="0" w:space="0" w:color="auto"/>
      </w:divBdr>
    </w:div>
    <w:div w:id="1883635945">
      <w:bodyDiv w:val="1"/>
      <w:marLeft w:val="0"/>
      <w:marRight w:val="0"/>
      <w:marTop w:val="0"/>
      <w:marBottom w:val="0"/>
      <w:divBdr>
        <w:top w:val="none" w:sz="0" w:space="0" w:color="auto"/>
        <w:left w:val="none" w:sz="0" w:space="0" w:color="auto"/>
        <w:bottom w:val="none" w:sz="0" w:space="0" w:color="auto"/>
        <w:right w:val="none" w:sz="0" w:space="0" w:color="auto"/>
      </w:divBdr>
    </w:div>
    <w:div w:id="1900050195">
      <w:bodyDiv w:val="1"/>
      <w:marLeft w:val="0"/>
      <w:marRight w:val="0"/>
      <w:marTop w:val="0"/>
      <w:marBottom w:val="0"/>
      <w:divBdr>
        <w:top w:val="none" w:sz="0" w:space="0" w:color="auto"/>
        <w:left w:val="none" w:sz="0" w:space="0" w:color="auto"/>
        <w:bottom w:val="none" w:sz="0" w:space="0" w:color="auto"/>
        <w:right w:val="none" w:sz="0" w:space="0" w:color="auto"/>
      </w:divBdr>
    </w:div>
    <w:div w:id="1923679739">
      <w:bodyDiv w:val="1"/>
      <w:marLeft w:val="0"/>
      <w:marRight w:val="0"/>
      <w:marTop w:val="0"/>
      <w:marBottom w:val="0"/>
      <w:divBdr>
        <w:top w:val="none" w:sz="0" w:space="0" w:color="auto"/>
        <w:left w:val="none" w:sz="0" w:space="0" w:color="auto"/>
        <w:bottom w:val="none" w:sz="0" w:space="0" w:color="auto"/>
        <w:right w:val="none" w:sz="0" w:space="0" w:color="auto"/>
      </w:divBdr>
    </w:div>
    <w:div w:id="1957252475">
      <w:bodyDiv w:val="1"/>
      <w:marLeft w:val="0"/>
      <w:marRight w:val="0"/>
      <w:marTop w:val="0"/>
      <w:marBottom w:val="0"/>
      <w:divBdr>
        <w:top w:val="none" w:sz="0" w:space="0" w:color="auto"/>
        <w:left w:val="none" w:sz="0" w:space="0" w:color="auto"/>
        <w:bottom w:val="none" w:sz="0" w:space="0" w:color="auto"/>
        <w:right w:val="none" w:sz="0" w:space="0" w:color="auto"/>
      </w:divBdr>
    </w:div>
    <w:div w:id="2025590754">
      <w:bodyDiv w:val="1"/>
      <w:marLeft w:val="0"/>
      <w:marRight w:val="0"/>
      <w:marTop w:val="0"/>
      <w:marBottom w:val="0"/>
      <w:divBdr>
        <w:top w:val="none" w:sz="0" w:space="0" w:color="auto"/>
        <w:left w:val="none" w:sz="0" w:space="0" w:color="auto"/>
        <w:bottom w:val="none" w:sz="0" w:space="0" w:color="auto"/>
        <w:right w:val="none" w:sz="0" w:space="0" w:color="auto"/>
      </w:divBdr>
    </w:div>
    <w:div w:id="2029409560">
      <w:bodyDiv w:val="1"/>
      <w:marLeft w:val="0"/>
      <w:marRight w:val="0"/>
      <w:marTop w:val="0"/>
      <w:marBottom w:val="0"/>
      <w:divBdr>
        <w:top w:val="none" w:sz="0" w:space="0" w:color="auto"/>
        <w:left w:val="none" w:sz="0" w:space="0" w:color="auto"/>
        <w:bottom w:val="none" w:sz="0" w:space="0" w:color="auto"/>
        <w:right w:val="none" w:sz="0" w:space="0" w:color="auto"/>
      </w:divBdr>
    </w:div>
    <w:div w:id="2049917113">
      <w:bodyDiv w:val="1"/>
      <w:marLeft w:val="0"/>
      <w:marRight w:val="0"/>
      <w:marTop w:val="0"/>
      <w:marBottom w:val="0"/>
      <w:divBdr>
        <w:top w:val="none" w:sz="0" w:space="0" w:color="auto"/>
        <w:left w:val="none" w:sz="0" w:space="0" w:color="auto"/>
        <w:bottom w:val="none" w:sz="0" w:space="0" w:color="auto"/>
        <w:right w:val="none" w:sz="0" w:space="0" w:color="auto"/>
      </w:divBdr>
    </w:div>
    <w:div w:id="2051030075">
      <w:bodyDiv w:val="1"/>
      <w:marLeft w:val="0"/>
      <w:marRight w:val="0"/>
      <w:marTop w:val="0"/>
      <w:marBottom w:val="0"/>
      <w:divBdr>
        <w:top w:val="none" w:sz="0" w:space="0" w:color="auto"/>
        <w:left w:val="none" w:sz="0" w:space="0" w:color="auto"/>
        <w:bottom w:val="none" w:sz="0" w:space="0" w:color="auto"/>
        <w:right w:val="none" w:sz="0" w:space="0" w:color="auto"/>
      </w:divBdr>
    </w:div>
    <w:div w:id="2066444937">
      <w:bodyDiv w:val="1"/>
      <w:marLeft w:val="0"/>
      <w:marRight w:val="0"/>
      <w:marTop w:val="0"/>
      <w:marBottom w:val="0"/>
      <w:divBdr>
        <w:top w:val="none" w:sz="0" w:space="0" w:color="auto"/>
        <w:left w:val="none" w:sz="0" w:space="0" w:color="auto"/>
        <w:bottom w:val="none" w:sz="0" w:space="0" w:color="auto"/>
        <w:right w:val="none" w:sz="0" w:space="0" w:color="auto"/>
      </w:divBdr>
    </w:div>
    <w:div w:id="2087606849">
      <w:bodyDiv w:val="1"/>
      <w:marLeft w:val="0"/>
      <w:marRight w:val="0"/>
      <w:marTop w:val="0"/>
      <w:marBottom w:val="0"/>
      <w:divBdr>
        <w:top w:val="none" w:sz="0" w:space="0" w:color="auto"/>
        <w:left w:val="none" w:sz="0" w:space="0" w:color="auto"/>
        <w:bottom w:val="none" w:sz="0" w:space="0" w:color="auto"/>
        <w:right w:val="none" w:sz="0" w:space="0" w:color="auto"/>
      </w:divBdr>
    </w:div>
    <w:div w:id="2098355553">
      <w:bodyDiv w:val="1"/>
      <w:marLeft w:val="0"/>
      <w:marRight w:val="0"/>
      <w:marTop w:val="0"/>
      <w:marBottom w:val="0"/>
      <w:divBdr>
        <w:top w:val="none" w:sz="0" w:space="0" w:color="auto"/>
        <w:left w:val="none" w:sz="0" w:space="0" w:color="auto"/>
        <w:bottom w:val="none" w:sz="0" w:space="0" w:color="auto"/>
        <w:right w:val="none" w:sz="0" w:space="0" w:color="auto"/>
      </w:divBdr>
    </w:div>
    <w:div w:id="211212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ista.com/chart/27678/eu-member-states-and-candidates/" TargetMode="Externa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8E73D-8E2E-41CB-8B29-3953464849C0}">
  <ds:schemaRefs>
    <ds:schemaRef ds:uri="http://schemas.openxmlformats.org/officeDocument/2006/bibliography"/>
    <ds:schemaRef ds:uri="http://www.w3.org/2000/xmlns/"/>
  </ds:schemaRefs>
</ds:datastoreItem>
</file>

<file path=docMetadata/LabelInfo.xml><?xml version="1.0" encoding="utf-8"?>
<clbl:labelList xmlns:clbl="http://schemas.microsoft.com/office/2020/mipLabelMetadata">
  <clbl:label id="{ebc7c086-c350-4453-911a-3b740f8d6dad}" enabled="0" method="" siteId="{ebc7c086-c350-4453-911a-3b740f8d6dad}"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4961</Words>
  <Characters>28279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Petya</dc:creator>
  <cp:lastModifiedBy>Петя Георгиева</cp:lastModifiedBy>
  <cp:revision>2</cp:revision>
  <dcterms:created xsi:type="dcterms:W3CDTF">2025-11-27T17:02:00Z</dcterms:created>
  <dcterms:modified xsi:type="dcterms:W3CDTF">2025-11-27T17:02:00Z</dcterms:modified>
</cp:coreProperties>
</file>